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g"/>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pPr w:leftFromText="180" w:rightFromText="180" w:vertAnchor="text" w:horzAnchor="page" w:tblpX="1033" w:tblpY="984"/>
        <w:tblW w:w="914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67"/>
        <w:gridCol w:w="533"/>
        <w:gridCol w:w="6631"/>
        <w:gridCol w:w="407"/>
        <w:gridCol w:w="580"/>
      </w:tblGrid>
      <w:tr w14:paraId="34E5B5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9145" w:type="dxa"/>
            <w:gridSpan w:val="6"/>
            <w:tcBorders>
              <w:top w:val="single" w:color="auto" w:sz="12" w:space="0"/>
              <w:bottom w:val="single" w:color="auto" w:sz="12" w:space="0"/>
            </w:tcBorders>
          </w:tcPr>
          <w:p w14:paraId="28A0893D">
            <w:pPr>
              <w:pStyle w:val="9"/>
              <w:rPr>
                <w:sz w:val="36"/>
              </w:rPr>
            </w:pPr>
            <w:r>
              <w:rPr>
                <w:rFonts w:hint="eastAsia"/>
                <w:sz w:val="36"/>
                <w:lang w:val="en-US" w:eastAsia="zh-CN"/>
              </w:rPr>
              <w:t>智能交互式军事沙盘</w:t>
            </w:r>
            <w:r>
              <w:rPr>
                <w:rFonts w:hint="eastAsia"/>
                <w:sz w:val="36"/>
              </w:rPr>
              <w:t>清单</w:t>
            </w:r>
          </w:p>
          <w:p w14:paraId="49610738">
            <w:pPr>
              <w:widowControl/>
              <w:jc w:val="center"/>
              <w:rPr>
                <w:rFonts w:hint="eastAsia" w:ascii="宋体" w:hAnsi="宋体" w:cs="宋体"/>
                <w:b/>
                <w:bCs/>
                <w:kern w:val="0"/>
                <w:sz w:val="24"/>
                <w:szCs w:val="21"/>
              </w:rPr>
            </w:pPr>
          </w:p>
        </w:tc>
      </w:tr>
      <w:tr w14:paraId="6D3B72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427" w:type="dxa"/>
            <w:tcBorders>
              <w:top w:val="single" w:color="auto" w:sz="12" w:space="0"/>
              <w:bottom w:val="single" w:color="auto" w:sz="12" w:space="0"/>
            </w:tcBorders>
          </w:tcPr>
          <w:p w14:paraId="52F55180">
            <w:pPr>
              <w:widowControl/>
              <w:jc w:val="center"/>
              <w:rPr>
                <w:rFonts w:ascii="宋体" w:hAnsi="宋体" w:cs="宋体"/>
                <w:b/>
                <w:bCs/>
                <w:kern w:val="0"/>
                <w:sz w:val="24"/>
                <w:szCs w:val="21"/>
              </w:rPr>
            </w:pPr>
            <w:r>
              <w:rPr>
                <w:rFonts w:hint="eastAsia" w:ascii="宋体" w:hAnsi="宋体" w:cs="宋体"/>
                <w:b/>
                <w:bCs/>
                <w:kern w:val="0"/>
                <w:sz w:val="24"/>
                <w:szCs w:val="21"/>
              </w:rPr>
              <w:t>序号</w:t>
            </w:r>
          </w:p>
        </w:tc>
        <w:tc>
          <w:tcPr>
            <w:tcW w:w="567" w:type="dxa"/>
            <w:tcBorders>
              <w:top w:val="single" w:color="auto" w:sz="12" w:space="0"/>
              <w:bottom w:val="single" w:color="auto" w:sz="12" w:space="0"/>
            </w:tcBorders>
            <w:vAlign w:val="center"/>
          </w:tcPr>
          <w:p w14:paraId="44FECBA4">
            <w:pPr>
              <w:widowControl/>
              <w:jc w:val="center"/>
              <w:rPr>
                <w:rFonts w:ascii="宋体" w:hAnsi="宋体" w:cs="宋体"/>
                <w:b/>
                <w:bCs/>
                <w:kern w:val="0"/>
                <w:sz w:val="24"/>
                <w:szCs w:val="21"/>
              </w:rPr>
            </w:pPr>
            <w:r>
              <w:rPr>
                <w:rFonts w:hint="eastAsia" w:ascii="宋体" w:hAnsi="宋体" w:cs="宋体"/>
                <w:b/>
                <w:bCs/>
                <w:kern w:val="0"/>
                <w:sz w:val="24"/>
                <w:szCs w:val="21"/>
              </w:rPr>
              <w:t>设备名称</w:t>
            </w:r>
          </w:p>
        </w:tc>
        <w:tc>
          <w:tcPr>
            <w:tcW w:w="533" w:type="dxa"/>
            <w:tcBorders>
              <w:top w:val="single" w:color="auto" w:sz="12" w:space="0"/>
              <w:bottom w:val="single" w:color="auto" w:sz="12" w:space="0"/>
            </w:tcBorders>
            <w:vAlign w:val="center"/>
          </w:tcPr>
          <w:p w14:paraId="4FCC8353">
            <w:pPr>
              <w:widowControl/>
              <w:jc w:val="center"/>
              <w:rPr>
                <w:rFonts w:ascii="宋体" w:hAnsi="宋体" w:cs="宋体"/>
                <w:b/>
                <w:bCs/>
                <w:kern w:val="0"/>
                <w:sz w:val="24"/>
                <w:szCs w:val="21"/>
              </w:rPr>
            </w:pPr>
            <w:r>
              <w:rPr>
                <w:rFonts w:hint="eastAsia" w:ascii="宋体" w:hAnsi="宋体" w:cs="宋体"/>
                <w:b/>
                <w:bCs/>
                <w:kern w:val="0"/>
                <w:sz w:val="24"/>
                <w:szCs w:val="21"/>
              </w:rPr>
              <w:t>型号</w:t>
            </w:r>
          </w:p>
        </w:tc>
        <w:tc>
          <w:tcPr>
            <w:tcW w:w="6631" w:type="dxa"/>
            <w:tcBorders>
              <w:top w:val="single" w:color="auto" w:sz="12" w:space="0"/>
              <w:bottom w:val="single" w:color="auto" w:sz="12" w:space="0"/>
            </w:tcBorders>
            <w:vAlign w:val="center"/>
          </w:tcPr>
          <w:p w14:paraId="21CB0E7A">
            <w:pPr>
              <w:widowControl/>
              <w:jc w:val="center"/>
              <w:rPr>
                <w:rFonts w:ascii="宋体" w:hAnsi="宋体" w:cs="宋体"/>
                <w:b/>
                <w:bCs/>
                <w:kern w:val="0"/>
                <w:sz w:val="24"/>
                <w:szCs w:val="21"/>
              </w:rPr>
            </w:pPr>
            <w:r>
              <w:rPr>
                <w:rFonts w:hint="eastAsia" w:ascii="宋体" w:hAnsi="宋体" w:cs="宋体"/>
                <w:b/>
                <w:bCs/>
                <w:kern w:val="0"/>
                <w:sz w:val="24"/>
                <w:szCs w:val="21"/>
              </w:rPr>
              <w:t>主要参数</w:t>
            </w:r>
          </w:p>
        </w:tc>
        <w:tc>
          <w:tcPr>
            <w:tcW w:w="407" w:type="dxa"/>
            <w:tcBorders>
              <w:top w:val="single" w:color="auto" w:sz="12" w:space="0"/>
              <w:bottom w:val="single" w:color="auto" w:sz="12" w:space="0"/>
            </w:tcBorders>
            <w:noWrap/>
            <w:vAlign w:val="center"/>
          </w:tcPr>
          <w:p w14:paraId="7C20AED3">
            <w:pPr>
              <w:widowControl/>
              <w:jc w:val="center"/>
              <w:rPr>
                <w:rFonts w:ascii="宋体" w:hAnsi="宋体" w:cs="宋体"/>
                <w:b/>
                <w:bCs/>
                <w:kern w:val="0"/>
                <w:sz w:val="24"/>
                <w:szCs w:val="21"/>
              </w:rPr>
            </w:pPr>
            <w:r>
              <w:rPr>
                <w:rFonts w:hint="eastAsia" w:ascii="宋体" w:hAnsi="宋体" w:cs="宋体"/>
                <w:b/>
                <w:bCs/>
                <w:kern w:val="0"/>
                <w:sz w:val="24"/>
                <w:szCs w:val="21"/>
              </w:rPr>
              <w:t>数量</w:t>
            </w:r>
          </w:p>
        </w:tc>
        <w:tc>
          <w:tcPr>
            <w:tcW w:w="580" w:type="dxa"/>
            <w:tcBorders>
              <w:top w:val="single" w:color="auto" w:sz="12" w:space="0"/>
              <w:bottom w:val="single" w:color="auto" w:sz="12" w:space="0"/>
            </w:tcBorders>
            <w:noWrap/>
            <w:vAlign w:val="center"/>
          </w:tcPr>
          <w:p w14:paraId="3EC49409">
            <w:pPr>
              <w:widowControl/>
              <w:jc w:val="center"/>
              <w:rPr>
                <w:rFonts w:ascii="宋体" w:hAnsi="宋体" w:cs="宋体"/>
                <w:b/>
                <w:bCs/>
                <w:kern w:val="0"/>
                <w:sz w:val="24"/>
                <w:szCs w:val="21"/>
              </w:rPr>
            </w:pPr>
            <w:r>
              <w:rPr>
                <w:rFonts w:hint="eastAsia" w:ascii="宋体" w:hAnsi="宋体" w:cs="宋体"/>
                <w:b/>
                <w:bCs/>
                <w:kern w:val="0"/>
                <w:sz w:val="24"/>
                <w:szCs w:val="21"/>
              </w:rPr>
              <w:t>单位</w:t>
            </w:r>
          </w:p>
        </w:tc>
      </w:tr>
      <w:tr w14:paraId="49FE4F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427" w:type="dxa"/>
            <w:tcBorders>
              <w:top w:val="single" w:color="auto" w:sz="12" w:space="0"/>
            </w:tcBorders>
            <w:vAlign w:val="center"/>
          </w:tcPr>
          <w:p w14:paraId="45A8F309">
            <w:pPr>
              <w:jc w:val="center"/>
              <w:rPr>
                <w:rFonts w:ascii="宋体" w:hAnsi="宋体" w:eastAsia="宋体" w:cs="宋体"/>
                <w:color w:val="000000"/>
                <w:sz w:val="22"/>
              </w:rPr>
            </w:pPr>
            <w:r>
              <w:rPr>
                <w:rFonts w:hint="eastAsia"/>
                <w:color w:val="000000"/>
                <w:sz w:val="22"/>
              </w:rPr>
              <w:t>1</w:t>
            </w:r>
          </w:p>
        </w:tc>
        <w:tc>
          <w:tcPr>
            <w:tcW w:w="567" w:type="dxa"/>
            <w:tcBorders>
              <w:top w:val="single" w:color="auto" w:sz="12" w:space="0"/>
            </w:tcBorders>
            <w:vAlign w:val="center"/>
          </w:tcPr>
          <w:p w14:paraId="14C8DFCE">
            <w:pPr>
              <w:widowControl/>
              <w:jc w:val="left"/>
              <w:rPr>
                <w:rFonts w:hint="default" w:eastAsiaTheme="minorEastAsia"/>
                <w:kern w:val="0"/>
                <w:sz w:val="22"/>
                <w:lang w:val="en-US" w:eastAsia="zh-CN"/>
              </w:rPr>
            </w:pPr>
            <w:r>
              <w:rPr>
                <w:rFonts w:hint="eastAsia"/>
                <w:kern w:val="0"/>
                <w:sz w:val="22"/>
                <w:lang w:val="en-US" w:eastAsia="zh-CN"/>
              </w:rPr>
              <w:t>3D打印地形沙盘</w:t>
            </w:r>
          </w:p>
        </w:tc>
        <w:tc>
          <w:tcPr>
            <w:tcW w:w="533" w:type="dxa"/>
            <w:tcBorders>
              <w:top w:val="single" w:color="auto" w:sz="12" w:space="0"/>
            </w:tcBorders>
            <w:vAlign w:val="center"/>
          </w:tcPr>
          <w:p w14:paraId="7F050849">
            <w:pPr>
              <w:widowControl/>
              <w:jc w:val="left"/>
              <w:rPr>
                <w:kern w:val="0"/>
                <w:sz w:val="22"/>
              </w:rPr>
            </w:pPr>
            <w:r>
              <w:rPr>
                <w:rFonts w:hint="eastAsia"/>
                <w:kern w:val="0"/>
                <w:sz w:val="22"/>
              </w:rPr>
              <w:t>定制</w:t>
            </w:r>
          </w:p>
        </w:tc>
        <w:tc>
          <w:tcPr>
            <w:tcW w:w="6631" w:type="dxa"/>
            <w:tcBorders>
              <w:top w:val="single" w:color="auto" w:sz="12" w:space="0"/>
            </w:tcBorders>
            <w:vAlign w:val="center"/>
          </w:tcPr>
          <w:p w14:paraId="00DAAF47">
            <w:pPr>
              <w:widowControl/>
              <w:jc w:val="left"/>
              <w:rPr>
                <w:rFonts w:hint="eastAsia"/>
                <w:kern w:val="0"/>
                <w:sz w:val="22"/>
              </w:rPr>
            </w:pPr>
            <w:r>
              <w:rPr>
                <w:rFonts w:hint="eastAsia"/>
                <w:kern w:val="0"/>
                <w:sz w:val="22"/>
              </w:rPr>
              <w:t>沙盘用于显示整个地区地形地貌，通过实物沙盘建设，展现三维地理形态、交通路网、水系结构、建筑、植被、专题目标等要素态势布局，辅助用户实现战场勘察、态势呈现和辅助分析。以逼真的实物模型展示任务区域内的区位分布、地貌特征、交通结构、周边地理环境等，便于进行有关场地勘察、全局分析和综合筹划会商。</w:t>
            </w:r>
          </w:p>
          <w:p w14:paraId="15607614">
            <w:pPr>
              <w:widowControl/>
              <w:jc w:val="left"/>
              <w:rPr>
                <w:rFonts w:hint="eastAsia"/>
                <w:kern w:val="0"/>
                <w:sz w:val="22"/>
              </w:rPr>
            </w:pPr>
            <w:r>
              <w:rPr>
                <w:rFonts w:hint="eastAsia"/>
                <w:kern w:val="0"/>
                <w:sz w:val="22"/>
              </w:rPr>
              <w:t>1.沙盘尺寸：沙盘外径尺寸</w:t>
            </w:r>
            <w:r>
              <w:rPr>
                <w:rFonts w:hint="eastAsia"/>
                <w:kern w:val="0"/>
                <w:sz w:val="22"/>
                <w:lang w:val="en-US" w:eastAsia="zh-CN"/>
              </w:rPr>
              <w:t>3</w:t>
            </w:r>
            <w:r>
              <w:rPr>
                <w:rFonts w:hint="eastAsia"/>
                <w:kern w:val="0"/>
                <w:sz w:val="22"/>
              </w:rPr>
              <w:t>米*</w:t>
            </w:r>
            <w:r>
              <w:rPr>
                <w:rFonts w:hint="eastAsia"/>
                <w:kern w:val="0"/>
                <w:sz w:val="22"/>
                <w:lang w:val="en-US" w:eastAsia="zh-CN"/>
              </w:rPr>
              <w:t>5</w:t>
            </w:r>
            <w:r>
              <w:rPr>
                <w:rFonts w:hint="eastAsia"/>
                <w:kern w:val="0"/>
                <w:sz w:val="22"/>
              </w:rPr>
              <w:t>米，沙盘要求方便拆卸、更换、运输。平面基准：2000 国家大地坐标系，高程基准：1985 国家高程基准。根据沙盘区域地形实际情况，并结合水平比例尺，合理设计垂直比例尺，可进行适当夸张。沙盘展示区域和尺寸可根据甲方需求进行调整。</w:t>
            </w:r>
          </w:p>
          <w:p w14:paraId="1002772C">
            <w:pPr>
              <w:widowControl/>
              <w:jc w:val="left"/>
              <w:rPr>
                <w:rFonts w:hint="eastAsia"/>
                <w:kern w:val="0"/>
                <w:sz w:val="22"/>
                <w:lang w:eastAsia="zh-CN"/>
              </w:rPr>
            </w:pPr>
            <w:r>
              <w:rPr>
                <w:rFonts w:hint="eastAsia"/>
                <w:kern w:val="0"/>
                <w:sz w:val="22"/>
              </w:rPr>
              <w:t>2.盘面骨架采用铝合金结构（断面尺寸≥30毫米*40毫米，壁厚≥1毫米，最大间距≤600毫米）。盘面采用阻燃胶合板</w:t>
            </w:r>
            <w:r>
              <w:rPr>
                <w:rFonts w:hint="eastAsia"/>
                <w:kern w:val="0"/>
                <w:sz w:val="22"/>
                <w:lang w:eastAsia="zh-CN"/>
              </w:rPr>
              <w:t>。</w:t>
            </w:r>
          </w:p>
          <w:p w14:paraId="24AF596F">
            <w:pPr>
              <w:widowControl/>
              <w:jc w:val="left"/>
              <w:rPr>
                <w:rFonts w:hint="eastAsia"/>
                <w:kern w:val="0"/>
                <w:sz w:val="22"/>
              </w:rPr>
            </w:pPr>
            <w:r>
              <w:rPr>
                <w:rFonts w:hint="eastAsia"/>
                <w:kern w:val="0"/>
                <w:sz w:val="22"/>
              </w:rPr>
              <w:t>▲3.地形打印：采用3D打印技术，3D打印机喷嘴直径≤0.8毫米，打印深度≥</w:t>
            </w:r>
            <w:r>
              <w:rPr>
                <w:rFonts w:hint="eastAsia"/>
                <w:kern w:val="0"/>
                <w:sz w:val="22"/>
                <w:lang w:val="en-US" w:eastAsia="zh-CN"/>
              </w:rPr>
              <w:t>2</w:t>
            </w:r>
            <w:r>
              <w:rPr>
                <w:rFonts w:hint="eastAsia"/>
                <w:kern w:val="0"/>
                <w:sz w:val="22"/>
              </w:rPr>
              <w:t>5cm自动调平打印，断料检测。形象逼真显示地形地貌。模型加工精度≤3毫米。3D打印软件符合自主可控相关要求，无国外技术背景。不得使用三维雕刻技术。3D打印地形内部采用8*8mm网格状支撑，不能空心打印后填充其他材料，3D打印地形承载力≥1000KG/㎡。</w:t>
            </w:r>
          </w:p>
          <w:p w14:paraId="6F5FE78D">
            <w:pPr>
              <w:widowControl/>
              <w:jc w:val="left"/>
              <w:rPr>
                <w:rFonts w:hint="eastAsia"/>
                <w:kern w:val="0"/>
                <w:sz w:val="22"/>
              </w:rPr>
            </w:pPr>
            <w:r>
              <w:rPr>
                <w:rFonts w:hint="eastAsia"/>
                <w:kern w:val="0"/>
                <w:sz w:val="22"/>
              </w:rPr>
              <w:t>▲4.地形材料：地形采用PLA生物降解环保材料，容易成型无翘边。线径：1.75毫米、密度：≥1.2g/cm³、拉伸强度≥25Mpa,弯曲强度Z：≥50Mpa。不得使用聚苯乙烯板、挤塑板、密度板、雪弗板、泡沫板。</w:t>
            </w:r>
          </w:p>
          <w:p w14:paraId="77DC497B">
            <w:pPr>
              <w:widowControl/>
              <w:jc w:val="left"/>
              <w:rPr>
                <w:rFonts w:hint="eastAsia"/>
                <w:kern w:val="0"/>
                <w:sz w:val="22"/>
              </w:rPr>
            </w:pPr>
            <w:r>
              <w:rPr>
                <w:rFonts w:hint="eastAsia"/>
                <w:kern w:val="0"/>
                <w:sz w:val="22"/>
              </w:rPr>
              <w:t>5.地形山体表面无结块、无裂纹、无明显变色。模型底层亮度高、着色能力强。</w:t>
            </w:r>
          </w:p>
          <w:p w14:paraId="60FE1824">
            <w:pPr>
              <w:widowControl/>
              <w:jc w:val="left"/>
              <w:rPr>
                <w:rFonts w:hint="eastAsia"/>
                <w:kern w:val="0"/>
                <w:sz w:val="22"/>
              </w:rPr>
            </w:pPr>
            <w:r>
              <w:rPr>
                <w:rFonts w:hint="eastAsia"/>
                <w:kern w:val="0"/>
                <w:sz w:val="22"/>
              </w:rPr>
              <w:t>▲6.模型上色材料环保无污染，甲醛＜0.02g/kg，采用分层设色四重喷涂技术。颜色参照相应区域夏季卫星影像图。</w:t>
            </w:r>
          </w:p>
          <w:p w14:paraId="2A396513">
            <w:pPr>
              <w:widowControl/>
              <w:jc w:val="left"/>
              <w:rPr>
                <w:rFonts w:hint="eastAsia"/>
                <w:kern w:val="0"/>
                <w:sz w:val="22"/>
              </w:rPr>
            </w:pPr>
            <w:r>
              <w:rPr>
                <w:rFonts w:hint="eastAsia"/>
                <w:kern w:val="0"/>
                <w:sz w:val="22"/>
              </w:rPr>
              <w:t>▲7.地形地物：采用DEM高程数据，DEM数据精度≤30米。不得使用任何开源免费数据。公路、铁路、河流、等采用注胶工艺，在3D打印地形上提前打印出来宽5毫米深8毫米的槽，在槽内注胶。公路采用黄色胶水、铁路采用黑白色胶水、河流采用蓝色胶水、界线采用红色胶水。海面采用仿真海水效果，具有潮汐、海浪立体效果。</w:t>
            </w:r>
          </w:p>
          <w:p w14:paraId="397F7E1D">
            <w:pPr>
              <w:widowControl/>
              <w:jc w:val="left"/>
              <w:rPr>
                <w:rFonts w:hint="eastAsia"/>
                <w:kern w:val="0"/>
                <w:sz w:val="22"/>
              </w:rPr>
            </w:pPr>
            <w:r>
              <w:rPr>
                <w:rFonts w:hint="eastAsia"/>
                <w:kern w:val="0"/>
                <w:sz w:val="22"/>
              </w:rPr>
              <w:t>▲9.建筑：采用3D打印技术制作，水平误差≤3毫米、垂直误差≤3毫米。</w:t>
            </w:r>
          </w:p>
          <w:p w14:paraId="52E6D309">
            <w:pPr>
              <w:widowControl/>
              <w:jc w:val="left"/>
              <w:rPr>
                <w:rFonts w:hint="eastAsia"/>
                <w:kern w:val="0"/>
                <w:sz w:val="22"/>
              </w:rPr>
            </w:pPr>
            <w:r>
              <w:rPr>
                <w:rFonts w:hint="eastAsia"/>
                <w:kern w:val="0"/>
                <w:sz w:val="22"/>
              </w:rPr>
              <w:t>▲10.模型拼接缝≤3毫米。</w:t>
            </w:r>
          </w:p>
          <w:p w14:paraId="19CAA269">
            <w:pPr>
              <w:widowControl/>
              <w:jc w:val="left"/>
              <w:rPr>
                <w:rFonts w:hint="eastAsia"/>
                <w:kern w:val="0"/>
                <w:sz w:val="22"/>
              </w:rPr>
            </w:pPr>
            <w:r>
              <w:rPr>
                <w:rFonts w:hint="eastAsia"/>
                <w:kern w:val="0"/>
                <w:sz w:val="22"/>
              </w:rPr>
              <w:t>▲11.沙盘标号平放、竖放、横放、侧放保证标号横平竖直、无倾斜、无翘脚的现象。要求整体设计合理、美观大方、采用ABS板制作。</w:t>
            </w:r>
          </w:p>
          <w:p w14:paraId="541627FC">
            <w:pPr>
              <w:widowControl/>
              <w:numPr>
                <w:ilvl w:val="0"/>
                <w:numId w:val="1"/>
              </w:numPr>
              <w:jc w:val="left"/>
              <w:rPr>
                <w:rFonts w:hint="eastAsia"/>
                <w:kern w:val="0"/>
                <w:sz w:val="22"/>
              </w:rPr>
            </w:pPr>
            <w:r>
              <w:rPr>
                <w:rFonts w:hint="eastAsia"/>
                <w:kern w:val="0"/>
                <w:sz w:val="22"/>
              </w:rPr>
              <w:t>军事专题数据：沙盘表面的主要地名、行政驻地、道路、河流水系主要山峰、重要专题、重要单位等名称，采用立式、卧式、平躺式、散列式的标牌进行展示，能够使注记能够从正反两个方向都能清晰查看牌面注记文字。</w:t>
            </w:r>
          </w:p>
          <w:p w14:paraId="6DDFDD8D">
            <w:pPr>
              <w:widowControl/>
              <w:numPr>
                <w:ilvl w:val="0"/>
                <w:numId w:val="1"/>
              </w:numPr>
              <w:jc w:val="left"/>
              <w:rPr>
                <w:rFonts w:hint="eastAsia"/>
                <w:kern w:val="0"/>
                <w:sz w:val="22"/>
              </w:rPr>
            </w:pPr>
            <w:r>
              <w:rPr>
                <w:rFonts w:hint="eastAsia"/>
                <w:kern w:val="0"/>
                <w:sz w:val="22"/>
              </w:rPr>
              <w:t>比例尺、指北针采用≥5mm亚克力板，厚度公差±0.4毫米、拉伸强度≥70MPa、拉伸断裂应变＞3%。包含水平比例尺，垂直比例尺一套（比例尺大小由甲方确定）。</w:t>
            </w:r>
          </w:p>
          <w:p w14:paraId="656AC5AA">
            <w:pPr>
              <w:widowControl/>
              <w:jc w:val="left"/>
              <w:rPr>
                <w:rFonts w:hint="eastAsia"/>
                <w:kern w:val="0"/>
                <w:sz w:val="22"/>
              </w:rPr>
            </w:pPr>
            <w:r>
              <w:rPr>
                <w:rFonts w:hint="eastAsia"/>
                <w:kern w:val="0"/>
                <w:sz w:val="22"/>
              </w:rPr>
              <w:t>▲1</w:t>
            </w:r>
            <w:r>
              <w:rPr>
                <w:rFonts w:hint="eastAsia"/>
                <w:kern w:val="0"/>
                <w:sz w:val="22"/>
                <w:lang w:val="en-US" w:eastAsia="zh-CN"/>
              </w:rPr>
              <w:t>4</w:t>
            </w:r>
            <w:r>
              <w:rPr>
                <w:rFonts w:hint="eastAsia"/>
                <w:kern w:val="0"/>
                <w:sz w:val="22"/>
              </w:rPr>
              <w:t>.模型标题：采用3D打印立体标题，采用PLA材料，单字镂空打印倾斜45°。字体采用方正大黑简（具体名称由甲方确定）。</w:t>
            </w:r>
          </w:p>
          <w:p w14:paraId="26298714">
            <w:pPr>
              <w:widowControl/>
              <w:jc w:val="left"/>
              <w:rPr>
                <w:rFonts w:hint="eastAsia" w:eastAsiaTheme="minorEastAsia"/>
                <w:kern w:val="0"/>
                <w:sz w:val="22"/>
                <w:lang w:eastAsia="zh-CN"/>
              </w:rPr>
            </w:pPr>
            <w:bookmarkStart w:id="0" w:name="_GoBack"/>
            <w:r>
              <w:rPr>
                <w:rFonts w:hint="eastAsia" w:eastAsiaTheme="minorEastAsia"/>
                <w:kern w:val="0"/>
                <w:sz w:val="22"/>
                <w:lang w:eastAsia="zh-CN"/>
              </w:rPr>
              <w:drawing>
                <wp:anchor distT="0" distB="0" distL="114300" distR="114300" simplePos="0" relativeHeight="251659264" behindDoc="1" locked="0" layoutInCell="1" allowOverlap="1">
                  <wp:simplePos x="0" y="0"/>
                  <wp:positionH relativeFrom="column">
                    <wp:posOffset>-43180</wp:posOffset>
                  </wp:positionH>
                  <wp:positionV relativeFrom="paragraph">
                    <wp:posOffset>108585</wp:posOffset>
                  </wp:positionV>
                  <wp:extent cx="3980180" cy="2969260"/>
                  <wp:effectExtent l="0" t="0" r="7620" b="2540"/>
                  <wp:wrapTight wrapText="bothSides">
                    <wp:wrapPolygon>
                      <wp:start x="0" y="0"/>
                      <wp:lineTo x="0" y="21526"/>
                      <wp:lineTo x="21504" y="21526"/>
                      <wp:lineTo x="21504" y="0"/>
                      <wp:lineTo x="0" y="0"/>
                    </wp:wrapPolygon>
                  </wp:wrapTight>
                  <wp:docPr id="6" name="图片 6" descr="台湾地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台湾地区 (1)"/>
                          <pic:cNvPicPr>
                            <a:picLocks noChangeAspect="1"/>
                          </pic:cNvPicPr>
                        </pic:nvPicPr>
                        <pic:blipFill>
                          <a:blip r:embed="rId4"/>
                          <a:stretch>
                            <a:fillRect/>
                          </a:stretch>
                        </pic:blipFill>
                        <pic:spPr>
                          <a:xfrm>
                            <a:off x="0" y="0"/>
                            <a:ext cx="3980180" cy="2969260"/>
                          </a:xfrm>
                          <a:prstGeom prst="rect">
                            <a:avLst/>
                          </a:prstGeom>
                        </pic:spPr>
                      </pic:pic>
                    </a:graphicData>
                  </a:graphic>
                </wp:anchor>
              </w:drawing>
            </w:r>
            <w:bookmarkEnd w:id="0"/>
          </w:p>
        </w:tc>
        <w:tc>
          <w:tcPr>
            <w:tcW w:w="407" w:type="dxa"/>
            <w:tcBorders>
              <w:top w:val="single" w:color="auto" w:sz="12" w:space="0"/>
            </w:tcBorders>
            <w:vAlign w:val="center"/>
          </w:tcPr>
          <w:p w14:paraId="1D4C9D12">
            <w:pPr>
              <w:widowControl/>
              <w:jc w:val="left"/>
              <w:rPr>
                <w:kern w:val="0"/>
                <w:sz w:val="22"/>
              </w:rPr>
            </w:pPr>
            <w:r>
              <w:rPr>
                <w:kern w:val="0"/>
                <w:sz w:val="22"/>
              </w:rPr>
              <w:t>1</w:t>
            </w:r>
          </w:p>
        </w:tc>
        <w:tc>
          <w:tcPr>
            <w:tcW w:w="580" w:type="dxa"/>
            <w:tcBorders>
              <w:top w:val="single" w:color="auto" w:sz="12" w:space="0"/>
            </w:tcBorders>
            <w:vAlign w:val="center"/>
          </w:tcPr>
          <w:p w14:paraId="10BF90EF">
            <w:pPr>
              <w:widowControl/>
              <w:jc w:val="left"/>
              <w:rPr>
                <w:kern w:val="0"/>
                <w:sz w:val="22"/>
              </w:rPr>
            </w:pPr>
            <w:r>
              <w:rPr>
                <w:rFonts w:hint="eastAsia"/>
                <w:kern w:val="0"/>
                <w:sz w:val="22"/>
              </w:rPr>
              <w:t>套</w:t>
            </w:r>
          </w:p>
        </w:tc>
      </w:tr>
      <w:tr w14:paraId="41E4B8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427" w:type="dxa"/>
            <w:vAlign w:val="center"/>
          </w:tcPr>
          <w:p w14:paraId="3B60D7A6">
            <w:pPr>
              <w:jc w:val="center"/>
              <w:rPr>
                <w:rFonts w:ascii="宋体" w:hAnsi="宋体" w:eastAsia="宋体" w:cs="宋体"/>
                <w:color w:val="000000"/>
                <w:sz w:val="22"/>
              </w:rPr>
            </w:pPr>
            <w:r>
              <w:rPr>
                <w:rFonts w:hint="eastAsia"/>
                <w:color w:val="000000"/>
                <w:sz w:val="22"/>
              </w:rPr>
              <w:t>2</w:t>
            </w:r>
          </w:p>
        </w:tc>
        <w:tc>
          <w:tcPr>
            <w:tcW w:w="567" w:type="dxa"/>
            <w:vAlign w:val="center"/>
          </w:tcPr>
          <w:p w14:paraId="62C32254">
            <w:pPr>
              <w:widowControl/>
              <w:jc w:val="left"/>
              <w:rPr>
                <w:kern w:val="0"/>
                <w:sz w:val="22"/>
              </w:rPr>
            </w:pPr>
            <w:r>
              <w:rPr>
                <w:rFonts w:hint="eastAsia"/>
                <w:kern w:val="0"/>
                <w:sz w:val="22"/>
              </w:rPr>
              <w:t>智能交互系统</w:t>
            </w:r>
          </w:p>
        </w:tc>
        <w:tc>
          <w:tcPr>
            <w:tcW w:w="533" w:type="dxa"/>
            <w:vAlign w:val="center"/>
          </w:tcPr>
          <w:p w14:paraId="1A0B913D">
            <w:pPr>
              <w:widowControl/>
              <w:jc w:val="left"/>
              <w:rPr>
                <w:kern w:val="0"/>
                <w:sz w:val="22"/>
              </w:rPr>
            </w:pPr>
            <w:r>
              <w:rPr>
                <w:rFonts w:hint="eastAsia"/>
                <w:kern w:val="0"/>
                <w:sz w:val="22"/>
              </w:rPr>
              <w:t>定制</w:t>
            </w:r>
          </w:p>
        </w:tc>
        <w:tc>
          <w:tcPr>
            <w:tcW w:w="6631" w:type="dxa"/>
            <w:vAlign w:val="center"/>
          </w:tcPr>
          <w:p w14:paraId="26EF7DCF">
            <w:pPr>
              <w:widowControl/>
              <w:jc w:val="left"/>
              <w:rPr>
                <w:rFonts w:hint="eastAsia"/>
                <w:kern w:val="0"/>
                <w:sz w:val="22"/>
              </w:rPr>
            </w:pPr>
            <w:r>
              <w:rPr>
                <w:rFonts w:hint="eastAsia"/>
                <w:kern w:val="0"/>
                <w:sz w:val="22"/>
              </w:rPr>
              <w:t>智能交互系统软件符合自主可控相关要求，无国外技术背景。具有完全自主知识产权，采用C/S架构，须提供国产化系统适配认证证书。</w:t>
            </w:r>
          </w:p>
          <w:p w14:paraId="39F61EFF">
            <w:pPr>
              <w:widowControl/>
              <w:jc w:val="left"/>
              <w:rPr>
                <w:rFonts w:hint="eastAsia"/>
                <w:kern w:val="0"/>
                <w:sz w:val="22"/>
              </w:rPr>
            </w:pPr>
            <w:r>
              <w:rPr>
                <w:rFonts w:hint="eastAsia"/>
                <w:kern w:val="0"/>
                <w:sz w:val="22"/>
              </w:rPr>
              <w:t>通过感应器感知指挥杆或激光笔在物理沙盘上的位置，并通过后台服务软件的分析转换为操作信息，实现对沙盘的控制和信息展示子系统的联动展示，含1台服务器、</w:t>
            </w:r>
            <w:r>
              <w:rPr>
                <w:rFonts w:hint="eastAsia"/>
                <w:kern w:val="0"/>
                <w:sz w:val="22"/>
                <w:lang w:val="en-US" w:eastAsia="zh-CN"/>
              </w:rPr>
              <w:t>2</w:t>
            </w:r>
            <w:r>
              <w:rPr>
                <w:rFonts w:hint="eastAsia"/>
                <w:kern w:val="0"/>
                <w:sz w:val="22"/>
              </w:rPr>
              <w:t>套采集摄像机、1台编码器、2支指挥杆、2支激光笔。主要功能：</w:t>
            </w:r>
          </w:p>
          <w:p w14:paraId="47E5E7DD">
            <w:pPr>
              <w:widowControl/>
              <w:jc w:val="left"/>
              <w:rPr>
                <w:rFonts w:hint="eastAsia"/>
                <w:kern w:val="0"/>
                <w:sz w:val="22"/>
              </w:rPr>
            </w:pPr>
            <w:r>
              <w:rPr>
                <w:rFonts w:hint="eastAsia"/>
                <w:kern w:val="0"/>
                <w:sz w:val="22"/>
              </w:rPr>
              <w:t>★</w:t>
            </w:r>
            <w:r>
              <w:rPr>
                <w:rFonts w:hint="eastAsia"/>
                <w:kern w:val="0"/>
                <w:sz w:val="22"/>
                <w:lang w:val="en-US" w:eastAsia="zh-CN"/>
              </w:rPr>
              <w:t>1、点击</w:t>
            </w:r>
            <w:r>
              <w:rPr>
                <w:rFonts w:hint="eastAsia"/>
                <w:kern w:val="0"/>
                <w:sz w:val="22"/>
              </w:rPr>
              <w:t>物理沙盘上</w:t>
            </w:r>
            <w:r>
              <w:rPr>
                <w:rFonts w:hint="eastAsia"/>
                <w:kern w:val="0"/>
                <w:sz w:val="22"/>
                <w:lang w:val="en-US" w:eastAsia="zh-CN"/>
              </w:rPr>
              <w:t>任意</w:t>
            </w:r>
            <w:r>
              <w:rPr>
                <w:rFonts w:hint="eastAsia"/>
                <w:kern w:val="0"/>
                <w:sz w:val="22"/>
              </w:rPr>
              <w:t>点</w:t>
            </w:r>
            <w:r>
              <w:rPr>
                <w:rFonts w:hint="eastAsia"/>
                <w:kern w:val="0"/>
                <w:sz w:val="22"/>
                <w:lang w:val="en-US" w:eastAsia="zh-CN"/>
              </w:rPr>
              <w:t>位，能够</w:t>
            </w:r>
            <w:r>
              <w:rPr>
                <w:rFonts w:hint="eastAsia"/>
                <w:kern w:val="0"/>
                <w:sz w:val="22"/>
              </w:rPr>
              <w:t>输出</w:t>
            </w:r>
            <w:r>
              <w:rPr>
                <w:rFonts w:hint="eastAsia"/>
                <w:kern w:val="0"/>
                <w:sz w:val="22"/>
                <w:lang w:val="en-US" w:eastAsia="zh-CN"/>
              </w:rPr>
              <w:t>显示相应</w:t>
            </w:r>
            <w:r>
              <w:rPr>
                <w:rFonts w:hint="eastAsia"/>
                <w:kern w:val="0"/>
                <w:sz w:val="22"/>
              </w:rPr>
              <w:t>点位</w:t>
            </w:r>
            <w:r>
              <w:rPr>
                <w:rFonts w:hint="eastAsia"/>
                <w:kern w:val="0"/>
                <w:sz w:val="22"/>
                <w:lang w:val="en-US" w:eastAsia="zh-CN"/>
              </w:rPr>
              <w:t>的</w:t>
            </w:r>
            <w:r>
              <w:rPr>
                <w:rFonts w:hint="eastAsia"/>
                <w:kern w:val="0"/>
                <w:sz w:val="22"/>
              </w:rPr>
              <w:t>经纬度；</w:t>
            </w:r>
          </w:p>
          <w:p w14:paraId="14FA8EE0">
            <w:pPr>
              <w:widowControl/>
              <w:numPr>
                <w:ilvl w:val="0"/>
                <w:numId w:val="0"/>
              </w:numPr>
              <w:ind w:leftChars="0"/>
              <w:jc w:val="left"/>
              <w:rPr>
                <w:rFonts w:hint="eastAsia"/>
                <w:kern w:val="0"/>
                <w:sz w:val="22"/>
              </w:rPr>
            </w:pPr>
            <w:r>
              <w:rPr>
                <w:rFonts w:hint="eastAsia"/>
                <w:kern w:val="0"/>
                <w:sz w:val="22"/>
                <w:lang w:val="en-US" w:eastAsia="zh-CN"/>
              </w:rPr>
              <w:t>★2、点击</w:t>
            </w:r>
            <w:r>
              <w:rPr>
                <w:rFonts w:hint="eastAsia"/>
                <w:kern w:val="0"/>
                <w:sz w:val="22"/>
              </w:rPr>
              <w:t>物理沙盘上</w:t>
            </w:r>
            <w:r>
              <w:rPr>
                <w:rFonts w:hint="eastAsia"/>
                <w:kern w:val="0"/>
                <w:sz w:val="22"/>
                <w:lang w:val="en-US" w:eastAsia="zh-CN"/>
              </w:rPr>
              <w:t>任意</w:t>
            </w:r>
            <w:r>
              <w:rPr>
                <w:rFonts w:hint="eastAsia"/>
                <w:kern w:val="0"/>
                <w:sz w:val="22"/>
              </w:rPr>
              <w:t>点</w:t>
            </w:r>
            <w:r>
              <w:rPr>
                <w:rFonts w:hint="eastAsia"/>
                <w:kern w:val="0"/>
                <w:sz w:val="22"/>
                <w:lang w:val="en-US" w:eastAsia="zh-CN"/>
              </w:rPr>
              <w:t>位，能够</w:t>
            </w:r>
            <w:r>
              <w:rPr>
                <w:rFonts w:hint="eastAsia"/>
                <w:kern w:val="0"/>
                <w:sz w:val="22"/>
              </w:rPr>
              <w:t>输出</w:t>
            </w:r>
            <w:r>
              <w:rPr>
                <w:rFonts w:hint="eastAsia"/>
                <w:kern w:val="0"/>
                <w:sz w:val="22"/>
                <w:lang w:val="en-US" w:eastAsia="zh-CN"/>
              </w:rPr>
              <w:t>显示相应</w:t>
            </w:r>
            <w:r>
              <w:rPr>
                <w:rFonts w:hint="eastAsia"/>
                <w:kern w:val="0"/>
                <w:sz w:val="22"/>
              </w:rPr>
              <w:t>点位</w:t>
            </w:r>
            <w:r>
              <w:rPr>
                <w:rFonts w:hint="eastAsia"/>
                <w:kern w:val="0"/>
                <w:sz w:val="22"/>
                <w:lang w:val="en-US" w:eastAsia="zh-CN"/>
              </w:rPr>
              <w:t>的高程</w:t>
            </w:r>
            <w:r>
              <w:rPr>
                <w:rFonts w:hint="eastAsia"/>
                <w:kern w:val="0"/>
                <w:sz w:val="22"/>
              </w:rPr>
              <w:t>；</w:t>
            </w:r>
          </w:p>
          <w:p w14:paraId="3441169F">
            <w:pPr>
              <w:widowControl/>
              <w:numPr>
                <w:ilvl w:val="0"/>
                <w:numId w:val="0"/>
              </w:numPr>
              <w:ind w:leftChars="0"/>
              <w:jc w:val="left"/>
              <w:rPr>
                <w:rFonts w:hint="eastAsia"/>
                <w:kern w:val="0"/>
                <w:sz w:val="22"/>
              </w:rPr>
            </w:pPr>
            <w:r>
              <w:rPr>
                <w:rFonts w:hint="eastAsia"/>
                <w:kern w:val="0"/>
                <w:sz w:val="22"/>
                <w:lang w:val="en-US" w:eastAsia="zh-CN"/>
              </w:rPr>
              <w:t>★3、点击</w:t>
            </w:r>
            <w:r>
              <w:rPr>
                <w:rFonts w:hint="eastAsia"/>
                <w:kern w:val="0"/>
                <w:sz w:val="22"/>
              </w:rPr>
              <w:t>物理沙盘上</w:t>
            </w:r>
            <w:r>
              <w:rPr>
                <w:rFonts w:hint="eastAsia"/>
                <w:kern w:val="0"/>
                <w:sz w:val="22"/>
                <w:lang w:val="en-US" w:eastAsia="zh-CN"/>
              </w:rPr>
              <w:t>任意两个</w:t>
            </w:r>
            <w:r>
              <w:rPr>
                <w:rFonts w:hint="eastAsia"/>
                <w:kern w:val="0"/>
                <w:sz w:val="22"/>
              </w:rPr>
              <w:t>点</w:t>
            </w:r>
            <w:r>
              <w:rPr>
                <w:rFonts w:hint="eastAsia"/>
                <w:kern w:val="0"/>
                <w:sz w:val="22"/>
                <w:lang w:val="en-US" w:eastAsia="zh-CN"/>
              </w:rPr>
              <w:t>位，</w:t>
            </w:r>
            <w:r>
              <w:rPr>
                <w:rFonts w:hint="eastAsia"/>
                <w:kern w:val="0"/>
                <w:sz w:val="22"/>
              </w:rPr>
              <w:t>能够计算任意两点间的距离；</w:t>
            </w:r>
          </w:p>
          <w:p w14:paraId="5880D40E">
            <w:pPr>
              <w:pStyle w:val="4"/>
              <w:rPr>
                <w:rFonts w:hint="eastAsia"/>
              </w:rPr>
            </w:pPr>
            <w:r>
              <w:rPr>
                <w:rFonts w:hint="eastAsia"/>
              </w:rPr>
              <w:t>★</w:t>
            </w:r>
            <w:r>
              <w:rPr>
                <w:rFonts w:hint="eastAsia"/>
                <w:lang w:val="en-US" w:eastAsia="zh-CN"/>
              </w:rPr>
              <w:t>4、</w:t>
            </w:r>
            <w:r>
              <w:rPr>
                <w:rFonts w:hint="eastAsia"/>
              </w:rPr>
              <w:t>不得使用激光对射技术和电磁感应技术。</w:t>
            </w:r>
          </w:p>
          <w:p w14:paraId="74E4508E">
            <w:pPr>
              <w:pStyle w:val="4"/>
              <w:rPr>
                <w:rFonts w:hint="eastAsia"/>
                <w:kern w:val="0"/>
                <w:sz w:val="22"/>
              </w:rPr>
            </w:pPr>
            <w:r>
              <w:rPr>
                <w:rFonts w:hint="eastAsia"/>
                <w:kern w:val="0"/>
                <w:sz w:val="22"/>
                <w:lang w:val="en-US" w:eastAsia="zh-CN"/>
              </w:rPr>
              <w:t>5、</w:t>
            </w:r>
            <w:r>
              <w:rPr>
                <w:rFonts w:hint="eastAsia"/>
                <w:kern w:val="0"/>
                <w:sz w:val="22"/>
              </w:rPr>
              <w:t>能够实现与物理沙盘上任一点交互；</w:t>
            </w:r>
          </w:p>
          <w:p w14:paraId="293EF872">
            <w:pPr>
              <w:widowControl/>
              <w:jc w:val="left"/>
              <w:rPr>
                <w:rFonts w:hint="eastAsia"/>
                <w:kern w:val="0"/>
                <w:sz w:val="22"/>
              </w:rPr>
            </w:pPr>
            <w:r>
              <w:rPr>
                <w:rFonts w:hint="eastAsia"/>
                <w:kern w:val="0"/>
                <w:sz w:val="22"/>
                <w:lang w:val="en-US" w:eastAsia="zh-CN"/>
              </w:rPr>
              <w:t>6</w:t>
            </w:r>
            <w:r>
              <w:rPr>
                <w:rFonts w:hint="eastAsia"/>
                <w:kern w:val="0"/>
                <w:sz w:val="22"/>
              </w:rPr>
              <w:t>、能够在沙盘上任意位置设置虚拟按钮，支持</w:t>
            </w:r>
            <w:r>
              <w:rPr>
                <w:rFonts w:hint="eastAsia"/>
                <w:kern w:val="0"/>
                <w:sz w:val="22"/>
                <w:lang w:val="en-US" w:eastAsia="zh-CN"/>
              </w:rPr>
              <w:t>≥</w:t>
            </w:r>
            <w:r>
              <w:rPr>
                <w:rFonts w:hint="eastAsia"/>
                <w:kern w:val="0"/>
                <w:sz w:val="22"/>
              </w:rPr>
              <w:t>五种虚拟按钮设定</w:t>
            </w:r>
            <w:r>
              <w:rPr>
                <w:rFonts w:hint="eastAsia"/>
                <w:kern w:val="0"/>
                <w:sz w:val="22"/>
                <w:lang w:eastAsia="zh-CN"/>
              </w:rPr>
              <w:t>，</w:t>
            </w:r>
            <w:r>
              <w:rPr>
                <w:rFonts w:hint="eastAsia"/>
                <w:kern w:val="0"/>
                <w:sz w:val="22"/>
                <w:lang w:val="en-US" w:eastAsia="zh-CN"/>
              </w:rPr>
              <w:t>包含漫游、视频、文本、上一页、下一页等</w:t>
            </w:r>
            <w:r>
              <w:rPr>
                <w:rFonts w:hint="eastAsia"/>
                <w:kern w:val="0"/>
                <w:sz w:val="22"/>
              </w:rPr>
              <w:t>，能够通过指挥杆与实物沙盘上任一虚拟按钮交互，并向第三方发送交互命令</w:t>
            </w:r>
            <w:r>
              <w:rPr>
                <w:rFonts w:hint="eastAsia"/>
                <w:kern w:val="0"/>
                <w:sz w:val="22"/>
                <w:lang w:val="en-US" w:eastAsia="zh-CN"/>
              </w:rPr>
              <w:t>展示相关内容</w:t>
            </w:r>
            <w:r>
              <w:rPr>
                <w:rFonts w:hint="eastAsia"/>
                <w:kern w:val="0"/>
                <w:sz w:val="22"/>
              </w:rPr>
              <w:t>；</w:t>
            </w:r>
          </w:p>
          <w:p w14:paraId="7C5AD756">
            <w:pPr>
              <w:widowControl/>
              <w:jc w:val="left"/>
              <w:rPr>
                <w:rFonts w:hint="default" w:eastAsiaTheme="minorEastAsia"/>
                <w:kern w:val="0"/>
                <w:sz w:val="22"/>
                <w:lang w:val="en-US" w:eastAsia="zh-CN"/>
              </w:rPr>
            </w:pPr>
            <w:r>
              <w:rPr>
                <w:rFonts w:hint="eastAsia"/>
                <w:kern w:val="0"/>
                <w:sz w:val="22"/>
                <w:lang w:val="en-US" w:eastAsia="zh-CN"/>
              </w:rPr>
              <w:t>7</w:t>
            </w:r>
            <w:r>
              <w:rPr>
                <w:rFonts w:hint="eastAsia"/>
                <w:kern w:val="0"/>
                <w:sz w:val="22"/>
              </w:rPr>
              <w:t>、能够在沙盘上任意位置设置预设点位，预设点位≥10000（根据甲方需要提供，扩充预设点位不需要新增或预埋硬件，预设点位新建和扩充过程中不能对现有沙盘进行破坏），能够通过指挥杆、激光笔与实物沙盘上任一预设点位交互，并向第三方发送交互预设点位ID；</w:t>
            </w:r>
            <w:r>
              <w:rPr>
                <w:rFonts w:hint="eastAsia"/>
                <w:kern w:val="0"/>
                <w:sz w:val="22"/>
                <w:lang w:val="en-US" w:eastAsia="zh-CN"/>
              </w:rPr>
              <w:t>预设点位不能使用激光对射技术。</w:t>
            </w:r>
          </w:p>
          <w:p w14:paraId="60F8B32B">
            <w:pPr>
              <w:widowControl/>
              <w:jc w:val="left"/>
              <w:rPr>
                <w:kern w:val="0"/>
                <w:sz w:val="22"/>
              </w:rPr>
            </w:pPr>
            <w:r>
              <w:rPr>
                <w:rFonts w:hint="eastAsia"/>
                <w:kern w:val="0"/>
                <w:sz w:val="22"/>
                <w:lang w:val="en-US" w:eastAsia="zh-CN"/>
              </w:rPr>
              <w:t>8</w:t>
            </w:r>
            <w:r>
              <w:rPr>
                <w:rFonts w:hint="eastAsia"/>
                <w:kern w:val="0"/>
                <w:sz w:val="22"/>
              </w:rPr>
              <w:t>、能够通过指挥杆与实物沙盘上任一预设点位交互，联动控制预设点位关联的沙盘 LED灯光的开和关；</w:t>
            </w:r>
          </w:p>
          <w:p w14:paraId="27FA4609">
            <w:pPr>
              <w:widowControl/>
              <w:jc w:val="left"/>
              <w:rPr>
                <w:kern w:val="0"/>
                <w:sz w:val="22"/>
              </w:rPr>
            </w:pPr>
            <w:r>
              <w:rPr>
                <w:rFonts w:hint="eastAsia"/>
                <w:kern w:val="0"/>
                <w:sz w:val="22"/>
                <w:lang w:val="en-US" w:eastAsia="zh-CN"/>
              </w:rPr>
              <w:t>9</w:t>
            </w:r>
            <w:r>
              <w:rPr>
                <w:rFonts w:hint="eastAsia"/>
                <w:kern w:val="0"/>
                <w:sz w:val="22"/>
              </w:rPr>
              <w:t>、能够接收第三方系统发送的LED灯光控制命令，实现对LED灯光的控制；</w:t>
            </w:r>
          </w:p>
          <w:p w14:paraId="5C2209CB">
            <w:pPr>
              <w:widowControl/>
              <w:jc w:val="left"/>
              <w:rPr>
                <w:kern w:val="0"/>
                <w:sz w:val="22"/>
              </w:rPr>
            </w:pPr>
            <w:r>
              <w:rPr>
                <w:rFonts w:hint="eastAsia"/>
                <w:kern w:val="0"/>
                <w:sz w:val="22"/>
                <w:lang w:val="en-US" w:eastAsia="zh-CN"/>
              </w:rPr>
              <w:t>10</w:t>
            </w:r>
            <w:r>
              <w:rPr>
                <w:rFonts w:hint="eastAsia"/>
                <w:kern w:val="0"/>
                <w:sz w:val="22"/>
              </w:rPr>
              <w:t>、支持物理沙盘多个角度的控制操作，并能够实时切换；</w:t>
            </w:r>
          </w:p>
          <w:p w14:paraId="3CC94D51">
            <w:pPr>
              <w:widowControl/>
              <w:jc w:val="left"/>
              <w:rPr>
                <w:kern w:val="0"/>
                <w:sz w:val="22"/>
              </w:rPr>
            </w:pPr>
            <w:r>
              <w:rPr>
                <w:rFonts w:hint="eastAsia"/>
                <w:kern w:val="0"/>
                <w:sz w:val="22"/>
              </w:rPr>
              <w:t>交互处理终端技术指标：</w:t>
            </w:r>
          </w:p>
          <w:p w14:paraId="0DEA5885">
            <w:pPr>
              <w:widowControl/>
              <w:jc w:val="left"/>
              <w:rPr>
                <w:kern w:val="0"/>
                <w:sz w:val="22"/>
              </w:rPr>
            </w:pPr>
            <w:r>
              <w:rPr>
                <w:rFonts w:hint="eastAsia"/>
                <w:kern w:val="0"/>
                <w:sz w:val="22"/>
              </w:rPr>
              <w:t>● CPU：四核四线程及以上；● 电源：工控电源，150W；</w:t>
            </w:r>
          </w:p>
          <w:p w14:paraId="2586D1B0">
            <w:pPr>
              <w:widowControl/>
              <w:jc w:val="left"/>
              <w:rPr>
                <w:rFonts w:hint="eastAsia"/>
                <w:kern w:val="0"/>
                <w:sz w:val="22"/>
              </w:rPr>
            </w:pPr>
            <w:r>
              <w:rPr>
                <w:rFonts w:hint="eastAsia"/>
                <w:kern w:val="0"/>
                <w:sz w:val="22"/>
              </w:rPr>
              <w:t>● 内存：8G；● 存储：1T；● 并发数量：5；</w:t>
            </w:r>
          </w:p>
          <w:p w14:paraId="2060D799">
            <w:pPr>
              <w:widowControl/>
              <w:jc w:val="left"/>
              <w:rPr>
                <w:kern w:val="0"/>
                <w:sz w:val="22"/>
              </w:rPr>
            </w:pPr>
            <w:r>
              <w:rPr>
                <w:rFonts w:hint="eastAsia"/>
                <w:kern w:val="0"/>
                <w:sz w:val="22"/>
              </w:rPr>
              <w:t>采集摄像机技术指标：● 跟随速率： 20帧/秒；● 单台设备控制面积：12平米；</w:t>
            </w:r>
          </w:p>
          <w:p w14:paraId="56CFEF10">
            <w:pPr>
              <w:widowControl/>
              <w:jc w:val="left"/>
              <w:rPr>
                <w:kern w:val="0"/>
                <w:sz w:val="22"/>
              </w:rPr>
            </w:pPr>
            <w:r>
              <w:rPr>
                <w:rFonts w:hint="eastAsia"/>
                <w:kern w:val="0"/>
                <w:sz w:val="22"/>
              </w:rPr>
              <w:t>编码器技术指标：● 支持HDTVI/HDCVI/AHD/CVBS信号接入；● 支持H264、H265、Smart264、Smart265的编码格式；● 支持1080p实时编码；● 支持软件集成的开放式API，支持标准ONVIF协议；</w:t>
            </w:r>
          </w:p>
          <w:p w14:paraId="336C85C5">
            <w:pPr>
              <w:widowControl/>
              <w:jc w:val="left"/>
              <w:rPr>
                <w:kern w:val="0"/>
                <w:sz w:val="22"/>
              </w:rPr>
            </w:pPr>
            <w:r>
              <w:rPr>
                <w:rFonts w:hint="eastAsia"/>
                <w:kern w:val="0"/>
                <w:sz w:val="22"/>
              </w:rPr>
              <w:t>● 支持标准NFS、iSCSI网络协议，实现NAS/IPSAN网络存储；</w:t>
            </w:r>
          </w:p>
          <w:p w14:paraId="0414DE83">
            <w:pPr>
              <w:widowControl/>
              <w:jc w:val="left"/>
              <w:rPr>
                <w:kern w:val="0"/>
                <w:sz w:val="22"/>
              </w:rPr>
            </w:pPr>
            <w:r>
              <w:rPr>
                <w:rFonts w:hint="eastAsia"/>
                <w:kern w:val="0"/>
                <w:sz w:val="22"/>
              </w:rPr>
              <w:t>● 支持DHCP、NTP、RTSP、TCP、UDP、ARP、DNS等多种网络协议。</w:t>
            </w:r>
          </w:p>
          <w:p w14:paraId="35D0E05E">
            <w:pPr>
              <w:widowControl/>
              <w:jc w:val="left"/>
              <w:rPr>
                <w:rFonts w:hint="eastAsia"/>
                <w:kern w:val="0"/>
                <w:sz w:val="22"/>
              </w:rPr>
            </w:pPr>
            <w:r>
              <w:rPr>
                <w:rFonts w:hint="eastAsia"/>
                <w:kern w:val="0"/>
                <w:sz w:val="22"/>
              </w:rPr>
              <w:t>指挥杆技术指标：● 长度：120cm；● 供电：干电池；● 数量：2支。</w:t>
            </w:r>
          </w:p>
          <w:p w14:paraId="50EA00E0">
            <w:pPr>
              <w:widowControl/>
              <w:jc w:val="left"/>
              <w:rPr>
                <w:rFonts w:hint="eastAsia"/>
                <w:kern w:val="0"/>
                <w:sz w:val="22"/>
              </w:rPr>
            </w:pPr>
            <w:r>
              <w:rPr>
                <w:rFonts w:hint="eastAsia"/>
                <w:kern w:val="0"/>
                <w:sz w:val="22"/>
              </w:rPr>
              <w:t>激光笔技术指标：● 功能：具备目标指示和目标选取双重功能；● 供电：USB充电器直充或充电电池；● 数量：2支。</w:t>
            </w:r>
          </w:p>
          <w:p w14:paraId="5AA69875">
            <w:pPr>
              <w:widowControl/>
              <w:jc w:val="left"/>
            </w:pPr>
            <w:r>
              <w:object>
                <v:shape id="_x0000_i1026" o:spt="75" type="#_x0000_t75" style="height:246.9pt;width:312.3pt;" o:ole="t" filled="f" o:preferrelative="t" stroked="f" coordsize="21600,21600">
                  <v:path/>
                  <v:fill on="f" focussize="0,0"/>
                  <v:stroke on="f"/>
                  <v:imagedata r:id="rId6" o:title=""/>
                  <o:lock v:ext="edit" aspectratio="t"/>
                  <w10:wrap type="none"/>
                  <w10:anchorlock/>
                </v:shape>
                <o:OLEObject Type="Embed" ProgID="Visio.Drawing.11" ShapeID="_x0000_i1026" DrawAspect="Content" ObjectID="_1468075725" r:id="rId5">
                  <o:LockedField>false</o:LockedField>
                </o:OLEObject>
              </w:object>
            </w:r>
          </w:p>
          <w:p w14:paraId="03383A35">
            <w:pPr>
              <w:widowControl/>
              <w:jc w:val="left"/>
            </w:pPr>
          </w:p>
          <w:p w14:paraId="36C19C0E">
            <w:pPr>
              <w:widowControl/>
              <w:jc w:val="left"/>
            </w:pPr>
          </w:p>
          <w:p w14:paraId="7C8FB54C">
            <w:pPr>
              <w:widowControl/>
              <w:jc w:val="left"/>
            </w:pPr>
          </w:p>
          <w:p w14:paraId="75D99DFB">
            <w:pPr>
              <w:widowControl/>
              <w:jc w:val="left"/>
              <w:rPr>
                <w:rFonts w:hint="eastAsia"/>
              </w:rPr>
            </w:pPr>
          </w:p>
          <w:p w14:paraId="668633A7">
            <w:pPr>
              <w:widowControl/>
              <w:jc w:val="left"/>
            </w:pPr>
          </w:p>
          <w:p w14:paraId="3C4F6500">
            <w:pPr>
              <w:widowControl/>
              <w:jc w:val="left"/>
            </w:pPr>
          </w:p>
          <w:p w14:paraId="5028BFD8">
            <w:pPr>
              <w:widowControl/>
              <w:jc w:val="left"/>
              <w:rPr>
                <w:rFonts w:hint="eastAsia"/>
              </w:rPr>
            </w:pPr>
          </w:p>
          <w:p w14:paraId="682C1215">
            <w:pPr>
              <w:widowControl/>
              <w:jc w:val="left"/>
              <w:rPr>
                <w:rFonts w:hint="eastAsia"/>
              </w:rPr>
            </w:pPr>
          </w:p>
          <w:p w14:paraId="62D2552F">
            <w:pPr>
              <w:widowControl/>
              <w:jc w:val="left"/>
              <w:rPr>
                <w:rFonts w:hint="eastAsia"/>
              </w:rPr>
            </w:pPr>
          </w:p>
          <w:p w14:paraId="2478E58A">
            <w:pPr>
              <w:widowControl/>
              <w:jc w:val="left"/>
              <w:rPr>
                <w:rFonts w:hint="eastAsia"/>
              </w:rPr>
            </w:pPr>
          </w:p>
        </w:tc>
        <w:tc>
          <w:tcPr>
            <w:tcW w:w="407" w:type="dxa"/>
            <w:vAlign w:val="center"/>
          </w:tcPr>
          <w:p w14:paraId="7816A805">
            <w:pPr>
              <w:widowControl/>
              <w:jc w:val="left"/>
              <w:rPr>
                <w:kern w:val="0"/>
                <w:sz w:val="22"/>
              </w:rPr>
            </w:pPr>
            <w:r>
              <w:rPr>
                <w:kern w:val="0"/>
                <w:sz w:val="22"/>
              </w:rPr>
              <w:t>1</w:t>
            </w:r>
          </w:p>
        </w:tc>
        <w:tc>
          <w:tcPr>
            <w:tcW w:w="580" w:type="dxa"/>
            <w:vAlign w:val="center"/>
          </w:tcPr>
          <w:p w14:paraId="08BBA4F8">
            <w:pPr>
              <w:widowControl/>
              <w:jc w:val="left"/>
              <w:rPr>
                <w:kern w:val="0"/>
                <w:sz w:val="22"/>
              </w:rPr>
            </w:pPr>
            <w:r>
              <w:rPr>
                <w:rFonts w:hint="eastAsia"/>
                <w:kern w:val="0"/>
                <w:sz w:val="22"/>
              </w:rPr>
              <w:t>套</w:t>
            </w:r>
          </w:p>
        </w:tc>
      </w:tr>
      <w:tr w14:paraId="48C07E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427" w:type="dxa"/>
            <w:vAlign w:val="center"/>
          </w:tcPr>
          <w:p w14:paraId="70D6A93F">
            <w:pPr>
              <w:jc w:val="center"/>
              <w:rPr>
                <w:rFonts w:ascii="宋体" w:hAnsi="宋体" w:eastAsia="宋体" w:cs="宋体"/>
                <w:color w:val="000000"/>
                <w:sz w:val="22"/>
              </w:rPr>
            </w:pPr>
            <w:r>
              <w:rPr>
                <w:rFonts w:hint="eastAsia"/>
                <w:color w:val="000000"/>
                <w:sz w:val="22"/>
              </w:rPr>
              <w:t>3</w:t>
            </w:r>
          </w:p>
        </w:tc>
        <w:tc>
          <w:tcPr>
            <w:tcW w:w="567" w:type="dxa"/>
            <w:vAlign w:val="center"/>
          </w:tcPr>
          <w:p w14:paraId="3C19208A">
            <w:pPr>
              <w:widowControl/>
              <w:jc w:val="left"/>
              <w:rPr>
                <w:kern w:val="0"/>
                <w:sz w:val="22"/>
              </w:rPr>
            </w:pPr>
            <w:r>
              <w:rPr>
                <w:rFonts w:hint="eastAsia"/>
                <w:kern w:val="0"/>
                <w:sz w:val="22"/>
              </w:rPr>
              <w:t>语音交互系统</w:t>
            </w:r>
          </w:p>
        </w:tc>
        <w:tc>
          <w:tcPr>
            <w:tcW w:w="533" w:type="dxa"/>
            <w:vAlign w:val="center"/>
          </w:tcPr>
          <w:p w14:paraId="304B841E">
            <w:pPr>
              <w:widowControl/>
              <w:jc w:val="left"/>
              <w:rPr>
                <w:kern w:val="0"/>
                <w:sz w:val="22"/>
              </w:rPr>
            </w:pPr>
            <w:r>
              <w:rPr>
                <w:rFonts w:hint="eastAsia"/>
                <w:kern w:val="0"/>
                <w:sz w:val="22"/>
              </w:rPr>
              <w:t>定制</w:t>
            </w:r>
          </w:p>
        </w:tc>
        <w:tc>
          <w:tcPr>
            <w:tcW w:w="6631" w:type="dxa"/>
            <w:vAlign w:val="center"/>
          </w:tcPr>
          <w:p w14:paraId="52E57813">
            <w:pPr>
              <w:widowControl/>
              <w:jc w:val="left"/>
              <w:rPr>
                <w:kern w:val="0"/>
                <w:sz w:val="22"/>
              </w:rPr>
            </w:pPr>
            <w:r>
              <w:rPr>
                <w:rFonts w:hint="eastAsia"/>
                <w:kern w:val="0"/>
                <w:sz w:val="22"/>
              </w:rPr>
              <w:t>语音交互系统是基于语音识别、自然语言理解等技术，为沙盘在多种实际应用场景下，赋予沙盘“能听懂、能理解、能控制”式的智能语音控制功能，包括：</w:t>
            </w:r>
          </w:p>
          <w:p w14:paraId="32A1E68F">
            <w:pPr>
              <w:widowControl/>
              <w:jc w:val="left"/>
              <w:rPr>
                <w:kern w:val="0"/>
                <w:sz w:val="22"/>
              </w:rPr>
            </w:pPr>
            <w:r>
              <w:rPr>
                <w:rFonts w:hint="eastAsia"/>
                <w:kern w:val="0"/>
                <w:sz w:val="22"/>
              </w:rPr>
              <w:t>●目标选取，通过前置词+目标名称实现目标的选取，联动LED灯光控制、信息展示系统定位、目标指示系统指示，前置词可自定义；</w:t>
            </w:r>
          </w:p>
          <w:p w14:paraId="6DE57B63">
            <w:pPr>
              <w:widowControl/>
              <w:jc w:val="left"/>
              <w:rPr>
                <w:kern w:val="0"/>
                <w:sz w:val="22"/>
              </w:rPr>
            </w:pPr>
            <w:r>
              <w:rPr>
                <w:rFonts w:hint="eastAsia"/>
                <w:kern w:val="0"/>
                <w:sz w:val="22"/>
              </w:rPr>
              <w:t>●功能操作，通过语音命令完成视频展示、方案展示、文档展示等功能操作，操作命令可以自定义；</w:t>
            </w:r>
          </w:p>
          <w:p w14:paraId="4C9C2FAF">
            <w:pPr>
              <w:widowControl/>
              <w:jc w:val="left"/>
              <w:rPr>
                <w:kern w:val="0"/>
                <w:sz w:val="22"/>
              </w:rPr>
            </w:pPr>
            <w:r>
              <w:rPr>
                <w:rFonts w:hint="eastAsia"/>
                <w:kern w:val="0"/>
                <w:sz w:val="22"/>
              </w:rPr>
              <w:t>●多席位交互控制，支持多个席位语音控制，每个席位语音控制本席位系统显示；</w:t>
            </w:r>
          </w:p>
          <w:p w14:paraId="65A711A5">
            <w:pPr>
              <w:widowControl/>
              <w:jc w:val="left"/>
              <w:rPr>
                <w:kern w:val="0"/>
                <w:sz w:val="22"/>
              </w:rPr>
            </w:pPr>
            <w:r>
              <w:rPr>
                <w:rFonts w:hint="eastAsia"/>
                <w:kern w:val="0"/>
                <w:sz w:val="22"/>
              </w:rPr>
              <w:t>●支持自动语音拾取和按键控制拾取两种方式；</w:t>
            </w:r>
          </w:p>
          <w:p w14:paraId="0277F0FF">
            <w:pPr>
              <w:widowControl/>
              <w:jc w:val="left"/>
              <w:rPr>
                <w:kern w:val="0"/>
                <w:sz w:val="22"/>
              </w:rPr>
            </w:pPr>
            <w:r>
              <w:rPr>
                <w:rFonts w:hint="eastAsia"/>
                <w:kern w:val="0"/>
                <w:sz w:val="22"/>
              </w:rPr>
              <w:t>●离线使用，识别词条数目</w:t>
            </w:r>
            <w:r>
              <w:rPr>
                <w:rFonts w:hint="eastAsia"/>
                <w:kern w:val="0"/>
                <w:sz w:val="22"/>
                <w:lang w:val="en-US" w:eastAsia="zh-CN"/>
              </w:rPr>
              <w:t>2</w:t>
            </w:r>
            <w:r>
              <w:rPr>
                <w:rFonts w:hint="eastAsia"/>
                <w:kern w:val="0"/>
                <w:sz w:val="22"/>
              </w:rPr>
              <w:t>000；</w:t>
            </w:r>
          </w:p>
          <w:p w14:paraId="0384AC79">
            <w:pPr>
              <w:widowControl/>
              <w:jc w:val="left"/>
              <w:rPr>
                <w:kern w:val="0"/>
                <w:sz w:val="22"/>
              </w:rPr>
            </w:pPr>
            <w:r>
              <w:rPr>
                <w:rFonts w:hint="eastAsia"/>
                <w:kern w:val="0"/>
                <w:sz w:val="22"/>
              </w:rPr>
              <w:t>拾音设备技术指标：</w:t>
            </w:r>
          </w:p>
          <w:p w14:paraId="747D3B9C">
            <w:pPr>
              <w:widowControl/>
              <w:jc w:val="left"/>
              <w:rPr>
                <w:kern w:val="0"/>
                <w:sz w:val="22"/>
              </w:rPr>
            </w:pPr>
            <w:r>
              <w:rPr>
                <w:rFonts w:hint="eastAsia"/>
                <w:kern w:val="0"/>
                <w:sz w:val="22"/>
              </w:rPr>
              <w:t>●指向特征：全指向；</w:t>
            </w:r>
          </w:p>
          <w:p w14:paraId="21C99537">
            <w:pPr>
              <w:widowControl/>
              <w:jc w:val="left"/>
              <w:rPr>
                <w:kern w:val="0"/>
                <w:sz w:val="22"/>
              </w:rPr>
            </w:pPr>
            <w:r>
              <w:rPr>
                <w:rFonts w:hint="eastAsia"/>
                <w:kern w:val="0"/>
                <w:sz w:val="22"/>
              </w:rPr>
              <w:t>●灵敏度：40</w:t>
            </w:r>
            <w:r>
              <w:rPr>
                <w:kern w:val="0"/>
                <w:sz w:val="22"/>
              </w:rPr>
              <w:t>Db</w:t>
            </w:r>
            <w:r>
              <w:rPr>
                <w:rFonts w:hint="eastAsia"/>
                <w:kern w:val="0"/>
                <w:sz w:val="22"/>
              </w:rPr>
              <w:t>+/-3dB；</w:t>
            </w:r>
          </w:p>
          <w:p w14:paraId="7100E909">
            <w:pPr>
              <w:widowControl/>
              <w:jc w:val="left"/>
              <w:rPr>
                <w:rFonts w:hint="eastAsia"/>
                <w:kern w:val="0"/>
                <w:sz w:val="22"/>
              </w:rPr>
            </w:pPr>
            <w:r>
              <w:rPr>
                <w:rFonts w:hint="eastAsia"/>
                <w:kern w:val="0"/>
                <w:sz w:val="22"/>
              </w:rPr>
              <w:t>●线缆长度：外甩USB 线 1.5m，通过延长线有效使用距离不小于4米；</w:t>
            </w:r>
          </w:p>
          <w:p w14:paraId="5F3A2A86">
            <w:pPr>
              <w:widowControl/>
              <w:jc w:val="left"/>
              <w:rPr>
                <w:rFonts w:hint="eastAsia"/>
                <w:kern w:val="0"/>
                <w:sz w:val="22"/>
              </w:rPr>
            </w:pPr>
            <w:r>
              <w:drawing>
                <wp:inline distT="0" distB="0" distL="114300" distR="114300">
                  <wp:extent cx="3872865" cy="1909445"/>
                  <wp:effectExtent l="0" t="0" r="635" b="825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7"/>
                          <a:srcRect r="1864" b="35593"/>
                          <a:stretch>
                            <a:fillRect/>
                          </a:stretch>
                        </pic:blipFill>
                        <pic:spPr>
                          <a:xfrm>
                            <a:off x="0" y="0"/>
                            <a:ext cx="3872865" cy="1909445"/>
                          </a:xfrm>
                          <a:prstGeom prst="rect">
                            <a:avLst/>
                          </a:prstGeom>
                          <a:noFill/>
                          <a:ln>
                            <a:noFill/>
                          </a:ln>
                        </pic:spPr>
                      </pic:pic>
                    </a:graphicData>
                  </a:graphic>
                </wp:inline>
              </w:drawing>
            </w:r>
          </w:p>
        </w:tc>
        <w:tc>
          <w:tcPr>
            <w:tcW w:w="407" w:type="dxa"/>
            <w:vAlign w:val="center"/>
          </w:tcPr>
          <w:p w14:paraId="13DE7FE1">
            <w:pPr>
              <w:widowControl/>
              <w:jc w:val="left"/>
              <w:rPr>
                <w:kern w:val="0"/>
                <w:sz w:val="22"/>
              </w:rPr>
            </w:pPr>
            <w:r>
              <w:rPr>
                <w:kern w:val="0"/>
                <w:sz w:val="22"/>
              </w:rPr>
              <w:t>1</w:t>
            </w:r>
          </w:p>
        </w:tc>
        <w:tc>
          <w:tcPr>
            <w:tcW w:w="580" w:type="dxa"/>
            <w:vAlign w:val="center"/>
          </w:tcPr>
          <w:p w14:paraId="2A04ED0F">
            <w:pPr>
              <w:widowControl/>
              <w:jc w:val="left"/>
              <w:rPr>
                <w:kern w:val="0"/>
                <w:sz w:val="22"/>
              </w:rPr>
            </w:pPr>
            <w:r>
              <w:rPr>
                <w:rFonts w:hint="eastAsia"/>
                <w:kern w:val="0"/>
                <w:sz w:val="22"/>
              </w:rPr>
              <w:t>套</w:t>
            </w:r>
          </w:p>
        </w:tc>
      </w:tr>
      <w:tr w14:paraId="5CE069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427" w:type="dxa"/>
            <w:vAlign w:val="center"/>
          </w:tcPr>
          <w:p w14:paraId="6A5C3A57">
            <w:pPr>
              <w:jc w:val="center"/>
              <w:rPr>
                <w:rFonts w:ascii="宋体" w:hAnsi="宋体" w:eastAsia="宋体" w:cs="宋体"/>
                <w:color w:val="000000"/>
                <w:sz w:val="22"/>
              </w:rPr>
            </w:pPr>
            <w:r>
              <w:rPr>
                <w:rFonts w:hint="eastAsia"/>
                <w:color w:val="000000"/>
                <w:sz w:val="22"/>
              </w:rPr>
              <w:t>4</w:t>
            </w:r>
          </w:p>
        </w:tc>
        <w:tc>
          <w:tcPr>
            <w:tcW w:w="567" w:type="dxa"/>
            <w:vAlign w:val="center"/>
          </w:tcPr>
          <w:p w14:paraId="0C22D977">
            <w:pPr>
              <w:widowControl/>
              <w:jc w:val="left"/>
              <w:rPr>
                <w:kern w:val="0"/>
                <w:sz w:val="22"/>
              </w:rPr>
            </w:pPr>
            <w:r>
              <w:rPr>
                <w:rFonts w:hint="eastAsia"/>
                <w:kern w:val="0"/>
                <w:sz w:val="22"/>
              </w:rPr>
              <w:t>沙盘控制系统</w:t>
            </w:r>
          </w:p>
        </w:tc>
        <w:tc>
          <w:tcPr>
            <w:tcW w:w="533" w:type="dxa"/>
            <w:vAlign w:val="center"/>
          </w:tcPr>
          <w:p w14:paraId="6B84F03A">
            <w:pPr>
              <w:widowControl/>
              <w:jc w:val="left"/>
              <w:rPr>
                <w:kern w:val="0"/>
                <w:sz w:val="22"/>
              </w:rPr>
            </w:pPr>
            <w:r>
              <w:rPr>
                <w:rFonts w:hint="eastAsia"/>
                <w:kern w:val="0"/>
                <w:sz w:val="22"/>
              </w:rPr>
              <w:t>定制</w:t>
            </w:r>
          </w:p>
        </w:tc>
        <w:tc>
          <w:tcPr>
            <w:tcW w:w="6631" w:type="dxa"/>
            <w:vAlign w:val="center"/>
          </w:tcPr>
          <w:p w14:paraId="30FA4CF9">
            <w:pPr>
              <w:widowControl/>
              <w:jc w:val="left"/>
              <w:rPr>
                <w:rFonts w:hint="eastAsia"/>
                <w:kern w:val="0"/>
                <w:sz w:val="22"/>
              </w:rPr>
            </w:pPr>
            <w:r>
              <w:rPr>
                <w:rFonts w:hint="eastAsia"/>
                <w:kern w:val="0"/>
                <w:sz w:val="22"/>
              </w:rPr>
              <w:t>沙盘控制系统，符合自主可控相关要求，无国外技术背景。具有完全自主知识产权，采用C/S架构，须提供符合技术要求的国产化系统适配认证证书</w:t>
            </w:r>
            <w:r>
              <w:rPr>
                <w:rFonts w:hint="eastAsia" w:cs="宋体" w:asciiTheme="minorEastAsia" w:hAnsiTheme="minorEastAsia"/>
                <w:kern w:val="0"/>
                <w:szCs w:val="21"/>
              </w:rPr>
              <w:t>。</w:t>
            </w:r>
          </w:p>
          <w:p w14:paraId="1B6823AB">
            <w:pPr>
              <w:widowControl/>
              <w:jc w:val="left"/>
              <w:rPr>
                <w:kern w:val="0"/>
                <w:sz w:val="22"/>
              </w:rPr>
            </w:pPr>
            <w:r>
              <w:rPr>
                <w:rFonts w:hint="eastAsia"/>
                <w:kern w:val="0"/>
                <w:sz w:val="22"/>
              </w:rPr>
              <w:t>触摸屏交互控制系统，采用工业控制级集成电路实现I/O控制，系统具有集成度高、性能稳定、响应速度快、驱动功率大等特点，同时输入输出通道采用光电隔离技术，具有较高的抗干扰能力和抗冲击能力，可靠程度和使用寿命大大增加。系统支持安装在触摸屏电脑上，方便用户使用。</w:t>
            </w:r>
          </w:p>
          <w:p w14:paraId="08F230C0">
            <w:pPr>
              <w:widowControl/>
              <w:jc w:val="left"/>
              <w:rPr>
                <w:kern w:val="0"/>
                <w:sz w:val="22"/>
              </w:rPr>
            </w:pPr>
            <w:r>
              <w:rPr>
                <w:rFonts w:hint="eastAsia"/>
                <w:kern w:val="0"/>
                <w:sz w:val="22"/>
              </w:rPr>
              <w:t>功能包括：</w:t>
            </w:r>
          </w:p>
          <w:p w14:paraId="2D8831EC">
            <w:pPr>
              <w:widowControl/>
              <w:jc w:val="left"/>
              <w:rPr>
                <w:kern w:val="0"/>
                <w:sz w:val="22"/>
              </w:rPr>
            </w:pPr>
            <w:r>
              <w:rPr>
                <w:rFonts w:hint="eastAsia"/>
                <w:kern w:val="0"/>
                <w:sz w:val="22"/>
              </w:rPr>
              <w:t>1.信息点选取，系统将信息点通过列表的形式进行展示，列表包括分类树状列表和图形状态列表两部分，分类树状列表按照分组管理沙盘上的关键点，可以逐级展开，能方便地找到感兴趣的点位；图形状态列表则是以图形符号的形式展示沙盘上的关键点位以及点位的开关状态，通过树状列表的分组可以显示不同组的点位，点击图形符号可以实现LED灯的开关控制;</w:t>
            </w:r>
          </w:p>
          <w:p w14:paraId="09DC546B">
            <w:pPr>
              <w:widowControl/>
              <w:jc w:val="left"/>
              <w:rPr>
                <w:kern w:val="0"/>
                <w:sz w:val="22"/>
              </w:rPr>
            </w:pPr>
            <w:r>
              <w:rPr>
                <w:rFonts w:hint="eastAsia"/>
                <w:kern w:val="0"/>
                <w:sz w:val="22"/>
              </w:rPr>
              <w:t>2.地图操作，支持两种地图控制命令;</w:t>
            </w:r>
          </w:p>
          <w:p w14:paraId="748F9844">
            <w:pPr>
              <w:widowControl/>
              <w:jc w:val="left"/>
              <w:rPr>
                <w:kern w:val="0"/>
                <w:sz w:val="22"/>
              </w:rPr>
            </w:pPr>
            <w:r>
              <w:rPr>
                <w:rFonts w:hint="eastAsia"/>
                <w:kern w:val="0"/>
                <w:sz w:val="22"/>
              </w:rPr>
              <w:t>3.视频播放控制，支持两种视频播放控制命令;</w:t>
            </w:r>
          </w:p>
          <w:p w14:paraId="58A8062D">
            <w:pPr>
              <w:widowControl/>
              <w:jc w:val="left"/>
              <w:rPr>
                <w:kern w:val="0"/>
                <w:sz w:val="22"/>
              </w:rPr>
            </w:pPr>
            <w:r>
              <w:rPr>
                <w:rFonts w:hint="eastAsia"/>
                <w:kern w:val="0"/>
                <w:sz w:val="22"/>
              </w:rPr>
              <w:t>4.PPT播放控制，支持两种PPT播放控制命令;</w:t>
            </w:r>
          </w:p>
          <w:p w14:paraId="164178CE">
            <w:pPr>
              <w:widowControl/>
              <w:jc w:val="left"/>
              <w:rPr>
                <w:kern w:val="0"/>
                <w:sz w:val="22"/>
              </w:rPr>
            </w:pPr>
            <w:r>
              <w:rPr>
                <w:rFonts w:hint="eastAsia"/>
                <w:kern w:val="0"/>
                <w:sz w:val="22"/>
              </w:rPr>
              <w:t>5.灯光控制，控制沙盘LED灯，可以实现对每一条河流和道路的单独控制，也可以实现分组、全开、全关控制；</w:t>
            </w:r>
            <w:r>
              <w:drawing>
                <wp:inline distT="0" distB="0" distL="114300" distR="114300">
                  <wp:extent cx="5486400" cy="3086100"/>
                  <wp:effectExtent l="0" t="0" r="0"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8"/>
                          <a:stretch>
                            <a:fillRect/>
                          </a:stretch>
                        </pic:blipFill>
                        <pic:spPr>
                          <a:xfrm>
                            <a:off x="0" y="0"/>
                            <a:ext cx="5486400" cy="3086100"/>
                          </a:xfrm>
                          <a:prstGeom prst="rect">
                            <a:avLst/>
                          </a:prstGeom>
                          <a:noFill/>
                          <a:ln>
                            <a:noFill/>
                          </a:ln>
                        </pic:spPr>
                      </pic:pic>
                    </a:graphicData>
                  </a:graphic>
                </wp:inline>
              </w:drawing>
            </w:r>
          </w:p>
        </w:tc>
        <w:tc>
          <w:tcPr>
            <w:tcW w:w="407" w:type="dxa"/>
            <w:vAlign w:val="center"/>
          </w:tcPr>
          <w:p w14:paraId="199B202E">
            <w:pPr>
              <w:widowControl/>
              <w:jc w:val="left"/>
              <w:rPr>
                <w:kern w:val="0"/>
                <w:sz w:val="22"/>
              </w:rPr>
            </w:pPr>
            <w:r>
              <w:rPr>
                <w:kern w:val="0"/>
                <w:sz w:val="22"/>
              </w:rPr>
              <w:t>1</w:t>
            </w:r>
          </w:p>
        </w:tc>
        <w:tc>
          <w:tcPr>
            <w:tcW w:w="580" w:type="dxa"/>
            <w:vAlign w:val="center"/>
          </w:tcPr>
          <w:p w14:paraId="007B3070">
            <w:pPr>
              <w:widowControl/>
              <w:jc w:val="left"/>
              <w:rPr>
                <w:kern w:val="0"/>
                <w:sz w:val="22"/>
              </w:rPr>
            </w:pPr>
            <w:r>
              <w:rPr>
                <w:rFonts w:hint="eastAsia"/>
                <w:kern w:val="0"/>
                <w:sz w:val="22"/>
              </w:rPr>
              <w:t>套</w:t>
            </w:r>
          </w:p>
        </w:tc>
      </w:tr>
      <w:tr w14:paraId="73DEE2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427" w:type="dxa"/>
            <w:vAlign w:val="center"/>
          </w:tcPr>
          <w:p w14:paraId="532B94CD">
            <w:pPr>
              <w:jc w:val="center"/>
              <w:rPr>
                <w:rFonts w:ascii="宋体" w:hAnsi="宋体" w:eastAsia="宋体" w:cs="宋体"/>
                <w:color w:val="000000"/>
                <w:sz w:val="22"/>
              </w:rPr>
            </w:pPr>
            <w:r>
              <w:rPr>
                <w:rFonts w:hint="eastAsia"/>
                <w:color w:val="000000"/>
                <w:sz w:val="22"/>
              </w:rPr>
              <w:t>5</w:t>
            </w:r>
          </w:p>
        </w:tc>
        <w:tc>
          <w:tcPr>
            <w:tcW w:w="567" w:type="dxa"/>
            <w:vAlign w:val="center"/>
          </w:tcPr>
          <w:p w14:paraId="11C3FDD4">
            <w:pPr>
              <w:widowControl/>
              <w:jc w:val="left"/>
              <w:rPr>
                <w:kern w:val="0"/>
                <w:sz w:val="22"/>
              </w:rPr>
            </w:pPr>
            <w:r>
              <w:rPr>
                <w:rFonts w:hint="eastAsia"/>
                <w:kern w:val="0"/>
                <w:sz w:val="22"/>
              </w:rPr>
              <w:t>目标指示系统</w:t>
            </w:r>
          </w:p>
        </w:tc>
        <w:tc>
          <w:tcPr>
            <w:tcW w:w="533" w:type="dxa"/>
            <w:vAlign w:val="center"/>
          </w:tcPr>
          <w:p w14:paraId="133D95B0">
            <w:pPr>
              <w:widowControl/>
              <w:jc w:val="left"/>
              <w:rPr>
                <w:kern w:val="0"/>
                <w:sz w:val="22"/>
              </w:rPr>
            </w:pPr>
            <w:r>
              <w:rPr>
                <w:rFonts w:hint="eastAsia"/>
                <w:kern w:val="0"/>
                <w:sz w:val="22"/>
              </w:rPr>
              <w:t>定制</w:t>
            </w:r>
          </w:p>
        </w:tc>
        <w:tc>
          <w:tcPr>
            <w:tcW w:w="6631" w:type="dxa"/>
            <w:vAlign w:val="center"/>
          </w:tcPr>
          <w:p w14:paraId="601C10FA">
            <w:pPr>
              <w:widowControl/>
              <w:jc w:val="left"/>
              <w:rPr>
                <w:kern w:val="0"/>
                <w:sz w:val="22"/>
              </w:rPr>
            </w:pPr>
            <w:r>
              <w:rPr>
                <w:rFonts w:hint="eastAsia"/>
                <w:kern w:val="0"/>
                <w:sz w:val="22"/>
              </w:rPr>
              <w:t>通过激光在物理沙盘上动态指示目标位置,功能包括：</w:t>
            </w:r>
          </w:p>
          <w:p w14:paraId="5B1893C0">
            <w:pPr>
              <w:widowControl/>
              <w:jc w:val="left"/>
              <w:rPr>
                <w:kern w:val="0"/>
                <w:sz w:val="22"/>
              </w:rPr>
            </w:pPr>
            <w:r>
              <w:rPr>
                <w:rFonts w:hint="eastAsia"/>
                <w:kern w:val="0"/>
                <w:sz w:val="22"/>
              </w:rPr>
              <w:t>● 经纬度指示，</w:t>
            </w:r>
            <w:r>
              <w:rPr>
                <w:rFonts w:hint="eastAsia"/>
                <w:kern w:val="0"/>
                <w:sz w:val="22"/>
                <w:lang w:val="en-US" w:eastAsia="zh-CN"/>
              </w:rPr>
              <w:t>输入经纬度数据相应的激光点</w:t>
            </w:r>
            <w:r>
              <w:rPr>
                <w:rFonts w:hint="eastAsia"/>
                <w:kern w:val="0"/>
                <w:sz w:val="22"/>
              </w:rPr>
              <w:t>指示在物理沙盘上</w:t>
            </w:r>
            <w:r>
              <w:rPr>
                <w:rFonts w:hint="eastAsia"/>
                <w:kern w:val="0"/>
                <w:sz w:val="22"/>
                <w:lang w:val="en-US" w:eastAsia="zh-CN"/>
              </w:rPr>
              <w:t>对应</w:t>
            </w:r>
            <w:r>
              <w:rPr>
                <w:rFonts w:hint="eastAsia"/>
                <w:kern w:val="0"/>
                <w:sz w:val="22"/>
              </w:rPr>
              <w:t>位置；</w:t>
            </w:r>
          </w:p>
          <w:p w14:paraId="2CD42D29">
            <w:pPr>
              <w:widowControl/>
              <w:jc w:val="left"/>
              <w:rPr>
                <w:kern w:val="0"/>
                <w:sz w:val="22"/>
              </w:rPr>
            </w:pPr>
            <w:r>
              <w:rPr>
                <w:rFonts w:hint="eastAsia"/>
                <w:kern w:val="0"/>
                <w:sz w:val="22"/>
              </w:rPr>
              <w:t>● 静态目标指示，通过激光点指示重点目标在物理沙盘上的位置；</w:t>
            </w:r>
          </w:p>
          <w:p w14:paraId="62DBFE55">
            <w:pPr>
              <w:widowControl/>
              <w:jc w:val="left"/>
              <w:rPr>
                <w:rFonts w:hint="eastAsia"/>
                <w:kern w:val="0"/>
                <w:sz w:val="22"/>
              </w:rPr>
            </w:pPr>
            <w:r>
              <w:rPr>
                <w:rFonts w:hint="eastAsia"/>
                <w:kern w:val="0"/>
                <w:sz w:val="22"/>
              </w:rPr>
              <w:t>● 路径指示，在物理沙盘上进行路径或轨迹指示。</w:t>
            </w:r>
          </w:p>
          <w:p w14:paraId="3F70BDE9">
            <w:pPr>
              <w:widowControl/>
              <w:jc w:val="left"/>
              <w:rPr>
                <w:rFonts w:hint="eastAsia"/>
                <w:kern w:val="0"/>
                <w:sz w:val="22"/>
              </w:rPr>
            </w:pPr>
          </w:p>
        </w:tc>
        <w:tc>
          <w:tcPr>
            <w:tcW w:w="407" w:type="dxa"/>
            <w:vAlign w:val="center"/>
          </w:tcPr>
          <w:p w14:paraId="1928D427">
            <w:pPr>
              <w:widowControl/>
              <w:jc w:val="left"/>
              <w:rPr>
                <w:kern w:val="0"/>
                <w:sz w:val="22"/>
              </w:rPr>
            </w:pPr>
            <w:r>
              <w:rPr>
                <w:kern w:val="0"/>
                <w:sz w:val="22"/>
              </w:rPr>
              <w:t>1</w:t>
            </w:r>
          </w:p>
        </w:tc>
        <w:tc>
          <w:tcPr>
            <w:tcW w:w="580" w:type="dxa"/>
            <w:vAlign w:val="center"/>
          </w:tcPr>
          <w:p w14:paraId="42F1D1ED">
            <w:pPr>
              <w:widowControl/>
              <w:jc w:val="left"/>
              <w:rPr>
                <w:kern w:val="0"/>
                <w:sz w:val="22"/>
              </w:rPr>
            </w:pPr>
            <w:r>
              <w:rPr>
                <w:rFonts w:hint="eastAsia"/>
                <w:kern w:val="0"/>
                <w:sz w:val="22"/>
              </w:rPr>
              <w:t>套</w:t>
            </w:r>
          </w:p>
        </w:tc>
      </w:tr>
      <w:tr w14:paraId="60492B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427" w:type="dxa"/>
            <w:vAlign w:val="center"/>
          </w:tcPr>
          <w:p w14:paraId="322FD0F5">
            <w:pPr>
              <w:jc w:val="center"/>
              <w:rPr>
                <w:rFonts w:hint="eastAsia" w:ascii="宋体" w:hAnsi="宋体" w:eastAsia="宋体" w:cs="宋体"/>
                <w:color w:val="000000"/>
                <w:sz w:val="22"/>
                <w:lang w:eastAsia="zh-CN"/>
              </w:rPr>
            </w:pPr>
            <w:r>
              <w:rPr>
                <w:rFonts w:hint="eastAsia" w:eastAsia="宋体"/>
                <w:color w:val="000000"/>
                <w:sz w:val="22"/>
                <w:lang w:val="en-US" w:eastAsia="zh-CN"/>
              </w:rPr>
              <w:t>6</w:t>
            </w:r>
          </w:p>
        </w:tc>
        <w:tc>
          <w:tcPr>
            <w:tcW w:w="567" w:type="dxa"/>
            <w:vAlign w:val="center"/>
          </w:tcPr>
          <w:p w14:paraId="51E5DE9D">
            <w:pPr>
              <w:widowControl/>
              <w:jc w:val="left"/>
              <w:rPr>
                <w:kern w:val="0"/>
                <w:sz w:val="22"/>
              </w:rPr>
            </w:pPr>
            <w:r>
              <w:rPr>
                <w:rFonts w:ascii="宋体" w:hAnsi="宋体"/>
                <w:sz w:val="24"/>
                <w:szCs w:val="24"/>
              </w:rPr>
              <w:t>地理信息展示</w:t>
            </w:r>
            <w:r>
              <w:rPr>
                <w:rFonts w:hint="eastAsia" w:ascii="宋体" w:hAnsi="宋体"/>
                <w:sz w:val="24"/>
                <w:szCs w:val="24"/>
              </w:rPr>
              <w:t>系统</w:t>
            </w:r>
          </w:p>
        </w:tc>
        <w:tc>
          <w:tcPr>
            <w:tcW w:w="533" w:type="dxa"/>
            <w:vAlign w:val="center"/>
          </w:tcPr>
          <w:p w14:paraId="2BD2B5C7">
            <w:pPr>
              <w:widowControl/>
              <w:jc w:val="left"/>
              <w:rPr>
                <w:kern w:val="0"/>
                <w:sz w:val="22"/>
              </w:rPr>
            </w:pPr>
            <w:r>
              <w:rPr>
                <w:rFonts w:hint="eastAsia"/>
                <w:kern w:val="0"/>
                <w:sz w:val="22"/>
              </w:rPr>
              <w:t>定制</w:t>
            </w:r>
          </w:p>
        </w:tc>
        <w:tc>
          <w:tcPr>
            <w:tcW w:w="6631" w:type="dxa"/>
            <w:vAlign w:val="center"/>
          </w:tcPr>
          <w:p w14:paraId="0F330F02">
            <w:pPr>
              <w:widowControl/>
              <w:jc w:val="left"/>
              <w:rPr>
                <w:kern w:val="0"/>
                <w:sz w:val="22"/>
              </w:rPr>
            </w:pPr>
            <w:r>
              <w:rPr>
                <w:rFonts w:hint="eastAsia"/>
                <w:kern w:val="0"/>
                <w:sz w:val="22"/>
              </w:rPr>
              <w:t>●三维地理信息系统数据加载,能够加载高清遥感影像数据、航拍数据、倾斜摄影数据、高精度地形数据；</w:t>
            </w:r>
          </w:p>
          <w:p w14:paraId="7B357745">
            <w:pPr>
              <w:widowControl/>
              <w:jc w:val="left"/>
              <w:rPr>
                <w:kern w:val="0"/>
                <w:sz w:val="22"/>
              </w:rPr>
            </w:pPr>
            <w:r>
              <w:rPr>
                <w:rFonts w:hint="eastAsia"/>
                <w:kern w:val="0"/>
                <w:sz w:val="22"/>
              </w:rPr>
              <w:t>●三维地理信息系统基础操作，包括指北、放大、缩小、漫游、倾斜、旋转；</w:t>
            </w:r>
          </w:p>
          <w:p w14:paraId="5E02E86F">
            <w:pPr>
              <w:widowControl/>
              <w:jc w:val="left"/>
              <w:rPr>
                <w:kern w:val="0"/>
                <w:sz w:val="22"/>
              </w:rPr>
            </w:pPr>
            <w:r>
              <w:rPr>
                <w:rFonts w:hint="eastAsia"/>
                <w:kern w:val="0"/>
                <w:sz w:val="22"/>
              </w:rPr>
              <w:t>●三维地理信息系统量算，实现距离量算、面积量算；能够查询地图上点位的经纬度和高程信息；</w:t>
            </w:r>
          </w:p>
          <w:p w14:paraId="17D41384">
            <w:pPr>
              <w:widowControl/>
              <w:jc w:val="left"/>
              <w:rPr>
                <w:kern w:val="0"/>
                <w:sz w:val="22"/>
              </w:rPr>
            </w:pPr>
            <w:r>
              <w:rPr>
                <w:rFonts w:hint="eastAsia"/>
                <w:kern w:val="0"/>
                <w:sz w:val="22"/>
              </w:rPr>
              <w:t>●三维地理信息系统分析，支持等高线显示分析、通视分析、淹没分析等；</w:t>
            </w:r>
          </w:p>
          <w:p w14:paraId="4069CADD">
            <w:pPr>
              <w:widowControl/>
              <w:jc w:val="left"/>
              <w:rPr>
                <w:kern w:val="0"/>
                <w:sz w:val="22"/>
              </w:rPr>
            </w:pPr>
            <w:r>
              <w:rPr>
                <w:rFonts w:hint="eastAsia"/>
                <w:kern w:val="0"/>
                <w:sz w:val="22"/>
              </w:rPr>
              <w:t>●地图标绘，包括基础图元标绘；常用格式3D模型加载；文本标签构建；基础军标符号标绘，能够更改颜色、注记，数量不少于800个；</w:t>
            </w:r>
          </w:p>
          <w:p w14:paraId="47357910">
            <w:pPr>
              <w:widowControl/>
              <w:jc w:val="left"/>
              <w:rPr>
                <w:kern w:val="0"/>
                <w:sz w:val="22"/>
              </w:rPr>
            </w:pPr>
            <w:r>
              <w:rPr>
                <w:rFonts w:hint="eastAsia"/>
                <w:kern w:val="0"/>
                <w:sz w:val="22"/>
              </w:rPr>
              <w:t>●自然环境模拟，提供对雨、雪、雾模拟显示功能；</w:t>
            </w:r>
          </w:p>
          <w:p w14:paraId="78D79E97">
            <w:pPr>
              <w:widowControl/>
              <w:jc w:val="left"/>
              <w:rPr>
                <w:kern w:val="0"/>
                <w:sz w:val="22"/>
              </w:rPr>
            </w:pPr>
            <w:r>
              <w:rPr>
                <w:rFonts w:hint="eastAsia"/>
                <w:kern w:val="0"/>
                <w:sz w:val="22"/>
              </w:rPr>
              <w:t>●点位勘察，对重点关注点位设定观看视角，并保存，与物理沙盘点位绑定，交互时能够迅速定位；</w:t>
            </w:r>
          </w:p>
          <w:p w14:paraId="3E049A11">
            <w:pPr>
              <w:widowControl/>
              <w:jc w:val="left"/>
              <w:rPr>
                <w:kern w:val="0"/>
                <w:sz w:val="22"/>
              </w:rPr>
            </w:pPr>
            <w:r>
              <w:rPr>
                <w:rFonts w:hint="eastAsia"/>
                <w:kern w:val="0"/>
                <w:sz w:val="22"/>
              </w:rPr>
              <w:t>●经纬度定位，接收交互点的经纬度数据，在系统上定位；</w:t>
            </w:r>
          </w:p>
          <w:p w14:paraId="02B3D0C1">
            <w:pPr>
              <w:widowControl/>
              <w:jc w:val="left"/>
              <w:rPr>
                <w:kern w:val="0"/>
                <w:sz w:val="22"/>
              </w:rPr>
            </w:pPr>
            <w:r>
              <w:rPr>
                <w:rFonts w:hint="eastAsia"/>
                <w:kern w:val="0"/>
                <w:sz w:val="22"/>
              </w:rPr>
              <w:t>●路径勘察，可以自定义浏览路径，并保存，与物理沙盘点位绑定，交互时启动自动漫游，查看周边地形地貌；</w:t>
            </w:r>
          </w:p>
          <w:p w14:paraId="0FD25AE8">
            <w:pPr>
              <w:widowControl/>
              <w:jc w:val="left"/>
              <w:rPr>
                <w:kern w:val="0"/>
                <w:sz w:val="22"/>
              </w:rPr>
            </w:pPr>
            <w:r>
              <w:rPr>
                <w:rFonts w:hint="eastAsia"/>
                <w:kern w:val="0"/>
                <w:sz w:val="22"/>
              </w:rPr>
              <w:t>●信息服务，录入点位详细信息，展示点位详细信息；</w:t>
            </w:r>
          </w:p>
          <w:p w14:paraId="1174D16A">
            <w:pPr>
              <w:widowControl/>
              <w:jc w:val="left"/>
              <w:rPr>
                <w:kern w:val="0"/>
                <w:sz w:val="22"/>
              </w:rPr>
            </w:pPr>
            <w:r>
              <w:rPr>
                <w:rFonts w:hint="eastAsia"/>
                <w:kern w:val="0"/>
                <w:sz w:val="22"/>
              </w:rPr>
              <w:t>●视频展播，录入点位视频介绍信息，通过视频对点位进行介绍；</w:t>
            </w:r>
          </w:p>
          <w:p w14:paraId="215BE42E">
            <w:pPr>
              <w:widowControl/>
              <w:jc w:val="left"/>
              <w:rPr>
                <w:kern w:val="0"/>
                <w:sz w:val="22"/>
              </w:rPr>
            </w:pPr>
            <w:r>
              <w:rPr>
                <w:rFonts w:hint="eastAsia"/>
                <w:kern w:val="0"/>
                <w:sz w:val="22"/>
              </w:rPr>
              <w:t>●文档讲解，录入点位文档讲解信息，通过文档对点位进行介绍；</w:t>
            </w:r>
          </w:p>
          <w:p w14:paraId="631674F9">
            <w:pPr>
              <w:widowControl/>
              <w:jc w:val="left"/>
              <w:rPr>
                <w:rFonts w:hint="eastAsia"/>
                <w:kern w:val="0"/>
                <w:sz w:val="22"/>
              </w:rPr>
            </w:pPr>
            <w:r>
              <w:rPr>
                <w:rFonts w:hint="eastAsia"/>
                <w:kern w:val="0"/>
                <w:sz w:val="22"/>
              </w:rPr>
              <w:t>●实时监控调看控制，支持不少于两种品牌的监控视频调看；</w:t>
            </w:r>
          </w:p>
          <w:p w14:paraId="1C61AFB4">
            <w:pPr>
              <w:widowControl/>
              <w:jc w:val="left"/>
              <w:rPr>
                <w:rFonts w:hint="eastAsia"/>
                <w:kern w:val="0"/>
                <w:sz w:val="22"/>
              </w:rPr>
            </w:pPr>
            <w:r>
              <w:rPr>
                <w:rFonts w:hint="eastAsia"/>
                <w:kern w:val="0"/>
                <w:sz w:val="22"/>
              </w:rPr>
              <w:t>数据支持系统</w:t>
            </w:r>
          </w:p>
          <w:p w14:paraId="7128F53C">
            <w:pPr>
              <w:widowControl/>
              <w:jc w:val="left"/>
              <w:rPr>
                <w:rFonts w:hint="eastAsia"/>
                <w:kern w:val="0"/>
                <w:sz w:val="22"/>
              </w:rPr>
            </w:pPr>
            <w:r>
              <w:rPr>
                <w:rFonts w:hint="eastAsia"/>
                <w:kern w:val="0"/>
                <w:sz w:val="22"/>
              </w:rPr>
              <w:t>（范围包括管辖区域）：基础数据提供全国1-15层（最大分辨率为5-8米）指定区域15-19层（最大分辨率0.6米）卫星影像数据。提供1秒分辨率的DEM数据（30米的高程数据）及配套使用的地名数据。终端并发数≥5。</w:t>
            </w:r>
          </w:p>
          <w:p w14:paraId="61C3AC51">
            <w:pPr>
              <w:widowControl/>
              <w:jc w:val="left"/>
            </w:pPr>
            <w:r>
              <w:drawing>
                <wp:inline distT="0" distB="0" distL="114300" distR="114300">
                  <wp:extent cx="4046855" cy="2274570"/>
                  <wp:effectExtent l="0" t="0" r="4445" b="11430"/>
                  <wp:docPr id="8" name="图片 2" descr="说明: D:\DATA_PROJECT\沙盘_2016\【101】指挥中心交互\【02】总体设计V6.0\截图\截图_20250603\2025-06-03_08-47-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说明: D:\DATA_PROJECT\沙盘_2016\【101】指挥中心交互\【02】总体设计V6.0\截图\截图_20250603\2025-06-03_08-47-49.png"/>
                          <pic:cNvPicPr>
                            <a:picLocks noChangeAspect="1"/>
                          </pic:cNvPicPr>
                        </pic:nvPicPr>
                        <pic:blipFill>
                          <a:blip r:embed="rId9"/>
                          <a:stretch>
                            <a:fillRect/>
                          </a:stretch>
                        </pic:blipFill>
                        <pic:spPr>
                          <a:xfrm>
                            <a:off x="0" y="0"/>
                            <a:ext cx="4046855" cy="2274570"/>
                          </a:xfrm>
                          <a:prstGeom prst="rect">
                            <a:avLst/>
                          </a:prstGeom>
                          <a:noFill/>
                          <a:ln>
                            <a:noFill/>
                          </a:ln>
                        </pic:spPr>
                      </pic:pic>
                    </a:graphicData>
                  </a:graphic>
                </wp:inline>
              </w:drawing>
            </w:r>
          </w:p>
          <w:p w14:paraId="0FCC4CC1">
            <w:pPr>
              <w:widowControl/>
              <w:jc w:val="left"/>
            </w:pPr>
          </w:p>
          <w:p w14:paraId="48BDACBD">
            <w:pPr>
              <w:widowControl/>
              <w:jc w:val="left"/>
              <w:rPr>
                <w:rFonts w:hint="eastAsia"/>
              </w:rPr>
            </w:pPr>
          </w:p>
        </w:tc>
        <w:tc>
          <w:tcPr>
            <w:tcW w:w="407" w:type="dxa"/>
            <w:vAlign w:val="center"/>
          </w:tcPr>
          <w:p w14:paraId="0EBF003F">
            <w:pPr>
              <w:widowControl/>
              <w:jc w:val="left"/>
              <w:rPr>
                <w:kern w:val="0"/>
                <w:sz w:val="22"/>
              </w:rPr>
            </w:pPr>
            <w:r>
              <w:rPr>
                <w:kern w:val="0"/>
                <w:sz w:val="22"/>
              </w:rPr>
              <w:t>1</w:t>
            </w:r>
          </w:p>
        </w:tc>
        <w:tc>
          <w:tcPr>
            <w:tcW w:w="580" w:type="dxa"/>
            <w:vAlign w:val="center"/>
          </w:tcPr>
          <w:p w14:paraId="11B0481E">
            <w:pPr>
              <w:widowControl/>
              <w:jc w:val="left"/>
              <w:rPr>
                <w:kern w:val="0"/>
                <w:sz w:val="22"/>
              </w:rPr>
            </w:pPr>
            <w:r>
              <w:rPr>
                <w:rFonts w:hint="eastAsia"/>
                <w:kern w:val="0"/>
                <w:sz w:val="22"/>
              </w:rPr>
              <w:t>套</w:t>
            </w:r>
          </w:p>
        </w:tc>
      </w:tr>
      <w:tr w14:paraId="4AE733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427" w:type="dxa"/>
            <w:vAlign w:val="center"/>
          </w:tcPr>
          <w:p w14:paraId="099DD3D4">
            <w:pPr>
              <w:jc w:val="center"/>
              <w:rPr>
                <w:rFonts w:hint="eastAsia" w:eastAsiaTheme="minorEastAsia"/>
                <w:color w:val="000000"/>
                <w:sz w:val="22"/>
                <w:lang w:eastAsia="zh-CN"/>
              </w:rPr>
            </w:pPr>
            <w:r>
              <w:rPr>
                <w:rFonts w:hint="eastAsia"/>
                <w:color w:val="000000"/>
                <w:sz w:val="22"/>
                <w:lang w:val="en-US" w:eastAsia="zh-CN"/>
              </w:rPr>
              <w:t>7</w:t>
            </w:r>
          </w:p>
        </w:tc>
        <w:tc>
          <w:tcPr>
            <w:tcW w:w="567" w:type="dxa"/>
            <w:vAlign w:val="center"/>
          </w:tcPr>
          <w:p w14:paraId="0D2980C1">
            <w:pPr>
              <w:widowControl/>
              <w:jc w:val="left"/>
              <w:rPr>
                <w:rFonts w:hint="eastAsia"/>
                <w:kern w:val="0"/>
                <w:sz w:val="22"/>
              </w:rPr>
            </w:pPr>
            <w:r>
              <w:rPr>
                <w:rFonts w:hint="eastAsia"/>
                <w:kern w:val="0"/>
                <w:sz w:val="22"/>
              </w:rPr>
              <w:t>人工智能大模型系统</w:t>
            </w:r>
          </w:p>
        </w:tc>
        <w:tc>
          <w:tcPr>
            <w:tcW w:w="533" w:type="dxa"/>
            <w:vAlign w:val="center"/>
          </w:tcPr>
          <w:p w14:paraId="64DD38AB">
            <w:pPr>
              <w:widowControl/>
              <w:jc w:val="left"/>
              <w:rPr>
                <w:rFonts w:hint="eastAsia"/>
                <w:kern w:val="0"/>
                <w:sz w:val="22"/>
              </w:rPr>
            </w:pPr>
            <w:r>
              <w:rPr>
                <w:rFonts w:hint="eastAsia"/>
                <w:kern w:val="0"/>
                <w:sz w:val="22"/>
              </w:rPr>
              <w:t>定制</w:t>
            </w:r>
          </w:p>
        </w:tc>
        <w:tc>
          <w:tcPr>
            <w:tcW w:w="6631" w:type="dxa"/>
            <w:vAlign w:val="center"/>
          </w:tcPr>
          <w:p w14:paraId="49DF2D7C">
            <w:pPr>
              <w:widowControl/>
              <w:jc w:val="left"/>
              <w:rPr>
                <w:rFonts w:hint="eastAsia"/>
                <w:kern w:val="0"/>
                <w:sz w:val="22"/>
              </w:rPr>
            </w:pPr>
            <w:r>
              <w:rPr>
                <w:rFonts w:hint="eastAsia"/>
                <w:kern w:val="0"/>
                <w:sz w:val="22"/>
              </w:rPr>
              <w:t>1.本地部署大模型，实现离线应用；</w:t>
            </w:r>
          </w:p>
          <w:p w14:paraId="001B0E34">
            <w:pPr>
              <w:widowControl/>
              <w:jc w:val="left"/>
              <w:rPr>
                <w:rFonts w:hint="eastAsia"/>
                <w:kern w:val="0"/>
                <w:sz w:val="22"/>
              </w:rPr>
            </w:pPr>
            <w:r>
              <w:rPr>
                <w:rFonts w:hint="eastAsia"/>
                <w:kern w:val="0"/>
                <w:sz w:val="22"/>
              </w:rPr>
              <w:t>2.本地知识库构建和管理；</w:t>
            </w:r>
          </w:p>
          <w:p w14:paraId="03F2F644">
            <w:pPr>
              <w:widowControl/>
              <w:jc w:val="left"/>
              <w:rPr>
                <w:rFonts w:hint="eastAsia"/>
                <w:kern w:val="0"/>
                <w:sz w:val="22"/>
              </w:rPr>
            </w:pPr>
            <w:r>
              <w:rPr>
                <w:rFonts w:hint="eastAsia"/>
                <w:kern w:val="0"/>
                <w:sz w:val="22"/>
              </w:rPr>
              <w:t>3.</w:t>
            </w:r>
            <w:r>
              <w:rPr>
                <w:rFonts w:hint="eastAsia" w:ascii="宋体" w:hAnsi="宋体" w:eastAsia="宋体"/>
                <w:sz w:val="24"/>
                <w:szCs w:val="24"/>
              </w:rPr>
              <w:t>知识检索，能够实现对本地知识库的检索；</w:t>
            </w:r>
          </w:p>
          <w:p w14:paraId="1E8C7AF6">
            <w:pPr>
              <w:widowControl/>
              <w:jc w:val="left"/>
              <w:rPr>
                <w:rFonts w:hint="eastAsia"/>
                <w:kern w:val="0"/>
                <w:sz w:val="22"/>
              </w:rPr>
            </w:pPr>
            <w:r>
              <w:rPr>
                <w:rFonts w:hint="eastAsia"/>
                <w:kern w:val="0"/>
                <w:sz w:val="22"/>
              </w:rPr>
              <w:t>4.用户权限管理，包括一般用户、知识库管理用户、超级用户；一般用户可以通过可视化界面使用构建的智能体应用；知识库管理用户只能对智能体关联的知识库进行管理；超级用户可以实现智能体的构建、知识库管理、智能体使用。</w:t>
            </w:r>
          </w:p>
          <w:p w14:paraId="50F24704">
            <w:pPr>
              <w:widowControl/>
              <w:jc w:val="left"/>
              <w:rPr>
                <w:rFonts w:hint="eastAsia"/>
                <w:kern w:val="0"/>
                <w:sz w:val="22"/>
              </w:rPr>
            </w:pPr>
            <w:r>
              <w:rPr>
                <w:rFonts w:hint="eastAsia"/>
                <w:kern w:val="0"/>
                <w:sz w:val="22"/>
              </w:rPr>
              <w:t>大模型主机</w:t>
            </w:r>
          </w:p>
          <w:p w14:paraId="6660FF90">
            <w:pPr>
              <w:widowControl/>
              <w:jc w:val="left"/>
              <w:rPr>
                <w:rFonts w:hint="eastAsia"/>
                <w:kern w:val="0"/>
                <w:sz w:val="22"/>
              </w:rPr>
            </w:pPr>
            <w:r>
              <w:rPr>
                <w:rFonts w:hint="eastAsia"/>
                <w:kern w:val="0"/>
                <w:sz w:val="22"/>
              </w:rPr>
              <w:t>CPU：核数≥10核,线程≥16；内存：≥32G DDR4; GPU：高性能GPU卡，显存≥32G;存储：1T；数量：1台。</w:t>
            </w:r>
          </w:p>
          <w:p w14:paraId="4DFCA6D2">
            <w:pPr>
              <w:widowControl/>
              <w:jc w:val="left"/>
              <w:rPr>
                <w:rFonts w:hint="eastAsia"/>
                <w:kern w:val="0"/>
                <w:sz w:val="22"/>
              </w:rPr>
            </w:pPr>
          </w:p>
          <w:p w14:paraId="0DF44760">
            <w:pPr>
              <w:widowControl/>
              <w:jc w:val="left"/>
              <w:rPr>
                <w:rFonts w:hint="eastAsia"/>
                <w:kern w:val="0"/>
                <w:sz w:val="22"/>
              </w:rPr>
            </w:pPr>
            <w:r>
              <w:drawing>
                <wp:anchor distT="0" distB="0" distL="114300" distR="114300" simplePos="0" relativeHeight="251660288" behindDoc="0" locked="0" layoutInCell="1" allowOverlap="1">
                  <wp:simplePos x="0" y="0"/>
                  <wp:positionH relativeFrom="column">
                    <wp:posOffset>85090</wp:posOffset>
                  </wp:positionH>
                  <wp:positionV relativeFrom="paragraph">
                    <wp:posOffset>121285</wp:posOffset>
                  </wp:positionV>
                  <wp:extent cx="3830955" cy="1968500"/>
                  <wp:effectExtent l="0" t="0" r="4445" b="0"/>
                  <wp:wrapTopAndBottom/>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0"/>
                          <a:stretch>
                            <a:fillRect/>
                          </a:stretch>
                        </pic:blipFill>
                        <pic:spPr>
                          <a:xfrm>
                            <a:off x="0" y="0"/>
                            <a:ext cx="3830955" cy="1968500"/>
                          </a:xfrm>
                          <a:prstGeom prst="rect">
                            <a:avLst/>
                          </a:prstGeom>
                          <a:noFill/>
                          <a:ln>
                            <a:noFill/>
                          </a:ln>
                        </pic:spPr>
                      </pic:pic>
                    </a:graphicData>
                  </a:graphic>
                </wp:anchor>
              </w:drawing>
            </w:r>
          </w:p>
          <w:p w14:paraId="098BF11B">
            <w:pPr>
              <w:widowControl/>
              <w:jc w:val="left"/>
              <w:rPr>
                <w:rFonts w:hint="eastAsia"/>
                <w:kern w:val="0"/>
                <w:sz w:val="22"/>
              </w:rPr>
            </w:pPr>
          </w:p>
        </w:tc>
        <w:tc>
          <w:tcPr>
            <w:tcW w:w="407" w:type="dxa"/>
            <w:shd w:val="clear" w:color="auto" w:fill="auto"/>
            <w:vAlign w:val="center"/>
          </w:tcPr>
          <w:p w14:paraId="1B76DE1A">
            <w:pPr>
              <w:widowControl/>
              <w:jc w:val="left"/>
              <w:rPr>
                <w:rFonts w:asciiTheme="minorHAnsi" w:hAnsiTheme="minorHAnsi" w:eastAsiaTheme="minorEastAsia" w:cstheme="minorBidi"/>
                <w:kern w:val="0"/>
                <w:sz w:val="22"/>
                <w:szCs w:val="22"/>
                <w:lang w:val="en-US" w:eastAsia="zh-CN" w:bidi="ar-SA"/>
              </w:rPr>
            </w:pPr>
            <w:r>
              <w:rPr>
                <w:kern w:val="0"/>
                <w:sz w:val="22"/>
              </w:rPr>
              <w:t>1</w:t>
            </w:r>
          </w:p>
        </w:tc>
        <w:tc>
          <w:tcPr>
            <w:tcW w:w="580" w:type="dxa"/>
            <w:shd w:val="clear" w:color="auto" w:fill="auto"/>
            <w:vAlign w:val="center"/>
          </w:tcPr>
          <w:p w14:paraId="3DB4C30A">
            <w:pPr>
              <w:widowControl/>
              <w:jc w:val="left"/>
              <w:rPr>
                <w:rFonts w:hint="eastAsia" w:asciiTheme="minorHAnsi" w:hAnsiTheme="minorHAnsi" w:eastAsiaTheme="minorEastAsia" w:cstheme="minorBidi"/>
                <w:kern w:val="0"/>
                <w:sz w:val="22"/>
                <w:szCs w:val="22"/>
                <w:lang w:val="en-US" w:eastAsia="zh-CN" w:bidi="ar-SA"/>
              </w:rPr>
            </w:pPr>
            <w:r>
              <w:rPr>
                <w:rFonts w:hint="eastAsia"/>
                <w:kern w:val="0"/>
                <w:sz w:val="22"/>
              </w:rPr>
              <w:t>套</w:t>
            </w:r>
          </w:p>
        </w:tc>
      </w:tr>
      <w:tr w14:paraId="3E50A2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427" w:type="dxa"/>
            <w:vAlign w:val="center"/>
          </w:tcPr>
          <w:p w14:paraId="7CD29248">
            <w:pPr>
              <w:jc w:val="center"/>
              <w:rPr>
                <w:rFonts w:hint="eastAsia" w:eastAsiaTheme="minorEastAsia"/>
                <w:color w:val="000000"/>
                <w:sz w:val="22"/>
                <w:lang w:eastAsia="zh-CN"/>
              </w:rPr>
            </w:pPr>
            <w:r>
              <w:rPr>
                <w:rFonts w:hint="eastAsia"/>
                <w:color w:val="000000"/>
                <w:sz w:val="22"/>
                <w:lang w:val="en-US" w:eastAsia="zh-CN"/>
              </w:rPr>
              <w:t>8</w:t>
            </w:r>
          </w:p>
        </w:tc>
        <w:tc>
          <w:tcPr>
            <w:tcW w:w="567" w:type="dxa"/>
            <w:vAlign w:val="center"/>
          </w:tcPr>
          <w:p w14:paraId="3A579C8A">
            <w:pPr>
              <w:widowControl/>
              <w:jc w:val="left"/>
              <w:rPr>
                <w:rFonts w:hint="eastAsia"/>
                <w:kern w:val="0"/>
                <w:sz w:val="22"/>
              </w:rPr>
            </w:pPr>
            <w:r>
              <w:rPr>
                <w:rFonts w:hint="eastAsia"/>
                <w:kern w:val="0"/>
                <w:sz w:val="22"/>
              </w:rPr>
              <w:t>数字人互动讲解功能</w:t>
            </w:r>
          </w:p>
        </w:tc>
        <w:tc>
          <w:tcPr>
            <w:tcW w:w="533" w:type="dxa"/>
            <w:vAlign w:val="center"/>
          </w:tcPr>
          <w:p w14:paraId="7CFE850C">
            <w:pPr>
              <w:widowControl/>
              <w:jc w:val="left"/>
              <w:rPr>
                <w:rFonts w:hint="eastAsia"/>
                <w:kern w:val="0"/>
                <w:sz w:val="22"/>
              </w:rPr>
            </w:pPr>
            <w:r>
              <w:rPr>
                <w:rFonts w:hint="eastAsia"/>
                <w:kern w:val="0"/>
                <w:sz w:val="22"/>
              </w:rPr>
              <w:t>定制</w:t>
            </w:r>
          </w:p>
        </w:tc>
        <w:tc>
          <w:tcPr>
            <w:tcW w:w="6631" w:type="dxa"/>
            <w:vAlign w:val="center"/>
          </w:tcPr>
          <w:p w14:paraId="4E218653">
            <w:pPr>
              <w:widowControl/>
              <w:jc w:val="left"/>
              <w:rPr>
                <w:rFonts w:hint="eastAsia"/>
                <w:kern w:val="0"/>
                <w:sz w:val="22"/>
              </w:rPr>
            </w:pPr>
            <w:r>
              <w:rPr>
                <w:rFonts w:hint="eastAsia"/>
                <w:kern w:val="0"/>
                <w:sz w:val="22"/>
              </w:rPr>
              <w:t>1.通过预设业务系统相关的完整知识库，数字人实现互动讲解功能。</w:t>
            </w:r>
          </w:p>
          <w:p w14:paraId="72B865A9">
            <w:pPr>
              <w:widowControl/>
              <w:jc w:val="left"/>
              <w:rPr>
                <w:rFonts w:hint="eastAsia"/>
                <w:kern w:val="0"/>
                <w:sz w:val="22"/>
              </w:rPr>
            </w:pPr>
            <w:r>
              <w:rPr>
                <w:rFonts w:hint="eastAsia"/>
                <w:kern w:val="0"/>
                <w:sz w:val="22"/>
              </w:rPr>
              <w:t>2.数字人可依托 AI语音识别、自然语言处理等技术，与观众形成实时互动，用户可提出问题，数字人能快速识别需求并联动其他系统对沙盘关联信息进行解答，包括物理沙盘LED灯光控制、</w:t>
            </w:r>
            <w:r>
              <w:rPr>
                <w:kern w:val="0"/>
                <w:sz w:val="22"/>
              </w:rPr>
              <w:t>地理信息展示</w:t>
            </w:r>
            <w:r>
              <w:rPr>
                <w:rFonts w:hint="eastAsia"/>
                <w:kern w:val="0"/>
                <w:sz w:val="22"/>
              </w:rPr>
              <w:t>系统定位、多媒体播放、目标指示系统定位，提升体验流畅度。</w:t>
            </w:r>
          </w:p>
          <w:p w14:paraId="7658BE54">
            <w:pPr>
              <w:widowControl/>
              <w:jc w:val="left"/>
              <w:rPr>
                <w:rFonts w:hint="eastAsia"/>
                <w:kern w:val="0"/>
                <w:sz w:val="22"/>
              </w:rPr>
            </w:pPr>
            <w:r>
              <w:rPr>
                <w:rFonts w:hint="eastAsia"/>
                <w:kern w:val="0"/>
                <w:sz w:val="22"/>
              </w:rPr>
              <w:t>3.数字人可面向不同用户，支持不少于三种模式（系统介绍、专业讲解、演示汇报）进行切换讲解，调整讲解内容。</w:t>
            </w:r>
          </w:p>
          <w:p w14:paraId="00824551">
            <w:pPr>
              <w:widowControl/>
              <w:jc w:val="left"/>
              <w:rPr>
                <w:rFonts w:hint="eastAsia"/>
                <w:kern w:val="0"/>
                <w:sz w:val="22"/>
              </w:rPr>
            </w:pPr>
            <w:r>
              <w:rPr>
                <w:rFonts w:hint="eastAsia"/>
                <w:kern w:val="0"/>
                <w:sz w:val="22"/>
              </w:rPr>
              <w:t>数字人一体机：</w:t>
            </w:r>
          </w:p>
          <w:p w14:paraId="5521FA92">
            <w:pPr>
              <w:widowControl/>
              <w:jc w:val="left"/>
              <w:rPr>
                <w:rFonts w:hint="eastAsia"/>
                <w:kern w:val="0"/>
                <w:sz w:val="22"/>
              </w:rPr>
            </w:pPr>
            <w:r>
              <w:rPr>
                <w:rFonts w:hint="eastAsia"/>
                <w:kern w:val="0"/>
                <w:sz w:val="22"/>
              </w:rPr>
              <w:t>尺寸：≥43寸；分辨率：≥1920*1080；触摸：10点触摸；操作系统：Android；运行内存：≥4G；内置储存: ≥32G；接口:usb、RJ45、HDMI；麦克：专业数字人交互麦克。数量：1台。</w:t>
            </w:r>
          </w:p>
          <w:p w14:paraId="41597FF7">
            <w:pPr>
              <w:widowControl/>
              <w:jc w:val="left"/>
              <w:rPr>
                <w:rFonts w:hint="eastAsia"/>
                <w:kern w:val="0"/>
                <w:sz w:val="22"/>
              </w:rPr>
            </w:pPr>
            <w:r>
              <w:rPr>
                <w:rFonts w:ascii="宋体" w:hAnsi="宋体" w:eastAsia="宋体" w:cs="宋体"/>
                <w:sz w:val="24"/>
                <w:szCs w:val="24"/>
              </w:rPr>
              <w:drawing>
                <wp:anchor distT="0" distB="0" distL="114300" distR="114300" simplePos="0" relativeHeight="251662336" behindDoc="1" locked="0" layoutInCell="1" allowOverlap="1">
                  <wp:simplePos x="0" y="0"/>
                  <wp:positionH relativeFrom="column">
                    <wp:posOffset>2065020</wp:posOffset>
                  </wp:positionH>
                  <wp:positionV relativeFrom="paragraph">
                    <wp:posOffset>199390</wp:posOffset>
                  </wp:positionV>
                  <wp:extent cx="1766570" cy="2507615"/>
                  <wp:effectExtent l="0" t="0" r="11430" b="6985"/>
                  <wp:wrapNone/>
                  <wp:docPr id="13" name="图片 13" descr="数字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数字人2"/>
                          <pic:cNvPicPr>
                            <a:picLocks noChangeAspect="1"/>
                          </pic:cNvPicPr>
                        </pic:nvPicPr>
                        <pic:blipFill>
                          <a:blip r:embed="rId11"/>
                          <a:stretch>
                            <a:fillRect/>
                          </a:stretch>
                        </pic:blipFill>
                        <pic:spPr>
                          <a:xfrm>
                            <a:off x="0" y="0"/>
                            <a:ext cx="1766570" cy="2507615"/>
                          </a:xfrm>
                          <a:prstGeom prst="rect">
                            <a:avLst/>
                          </a:prstGeom>
                        </pic:spPr>
                      </pic:pic>
                    </a:graphicData>
                  </a:graphic>
                </wp:anchor>
              </w:drawing>
            </w:r>
            <w:r>
              <w:rPr>
                <w:rFonts w:ascii="宋体" w:hAnsi="宋体" w:eastAsia="宋体" w:cs="宋体"/>
                <w:sz w:val="24"/>
                <w:szCs w:val="24"/>
              </w:rPr>
              <w:drawing>
                <wp:anchor distT="0" distB="0" distL="114300" distR="114300" simplePos="0" relativeHeight="251661312" behindDoc="0" locked="0" layoutInCell="1" allowOverlap="1">
                  <wp:simplePos x="0" y="0"/>
                  <wp:positionH relativeFrom="column">
                    <wp:posOffset>25400</wp:posOffset>
                  </wp:positionH>
                  <wp:positionV relativeFrom="paragraph">
                    <wp:posOffset>180340</wp:posOffset>
                  </wp:positionV>
                  <wp:extent cx="1924050" cy="2508250"/>
                  <wp:effectExtent l="0" t="0" r="6350" b="6350"/>
                  <wp:wrapTopAndBottom/>
                  <wp:docPr id="12"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descr="IMG_256"/>
                          <pic:cNvPicPr>
                            <a:picLocks noChangeAspect="1"/>
                          </pic:cNvPicPr>
                        </pic:nvPicPr>
                        <pic:blipFill>
                          <a:blip r:embed="rId12"/>
                          <a:srcRect r="-1781" b="23189"/>
                          <a:stretch>
                            <a:fillRect/>
                          </a:stretch>
                        </pic:blipFill>
                        <pic:spPr>
                          <a:xfrm>
                            <a:off x="0" y="0"/>
                            <a:ext cx="1924050" cy="2508250"/>
                          </a:xfrm>
                          <a:prstGeom prst="rect">
                            <a:avLst/>
                          </a:prstGeom>
                          <a:noFill/>
                          <a:ln w="9525">
                            <a:noFill/>
                          </a:ln>
                        </pic:spPr>
                      </pic:pic>
                    </a:graphicData>
                  </a:graphic>
                </wp:anchor>
              </w:drawing>
            </w:r>
          </w:p>
        </w:tc>
        <w:tc>
          <w:tcPr>
            <w:tcW w:w="407" w:type="dxa"/>
            <w:shd w:val="clear" w:color="auto" w:fill="auto"/>
            <w:vAlign w:val="center"/>
          </w:tcPr>
          <w:p w14:paraId="740D8BAD">
            <w:pPr>
              <w:widowControl/>
              <w:jc w:val="left"/>
              <w:rPr>
                <w:rFonts w:asciiTheme="minorHAnsi" w:hAnsiTheme="minorHAnsi" w:eastAsiaTheme="minorEastAsia" w:cstheme="minorBidi"/>
                <w:kern w:val="0"/>
                <w:sz w:val="22"/>
                <w:szCs w:val="22"/>
                <w:lang w:val="en-US" w:eastAsia="zh-CN" w:bidi="ar-SA"/>
              </w:rPr>
            </w:pPr>
            <w:r>
              <w:rPr>
                <w:kern w:val="0"/>
                <w:sz w:val="22"/>
              </w:rPr>
              <w:t>1</w:t>
            </w:r>
          </w:p>
        </w:tc>
        <w:tc>
          <w:tcPr>
            <w:tcW w:w="580" w:type="dxa"/>
            <w:shd w:val="clear" w:color="auto" w:fill="auto"/>
            <w:vAlign w:val="center"/>
          </w:tcPr>
          <w:p w14:paraId="2394344B">
            <w:pPr>
              <w:widowControl/>
              <w:jc w:val="left"/>
              <w:rPr>
                <w:rFonts w:hint="eastAsia" w:asciiTheme="minorHAnsi" w:hAnsiTheme="minorHAnsi" w:eastAsiaTheme="minorEastAsia" w:cstheme="minorBidi"/>
                <w:kern w:val="0"/>
                <w:sz w:val="22"/>
                <w:szCs w:val="22"/>
                <w:lang w:val="en-US" w:eastAsia="zh-CN" w:bidi="ar-SA"/>
              </w:rPr>
            </w:pPr>
            <w:r>
              <w:rPr>
                <w:rFonts w:hint="eastAsia"/>
                <w:kern w:val="0"/>
                <w:sz w:val="22"/>
              </w:rPr>
              <w:t>套</w:t>
            </w:r>
          </w:p>
        </w:tc>
      </w:tr>
      <w:tr w14:paraId="076B53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15" w:hRule="atLeast"/>
        </w:trPr>
        <w:tc>
          <w:tcPr>
            <w:tcW w:w="427" w:type="dxa"/>
            <w:vAlign w:val="center"/>
          </w:tcPr>
          <w:p w14:paraId="3C3A0F69">
            <w:pPr>
              <w:jc w:val="center"/>
              <w:rPr>
                <w:rFonts w:hint="eastAsia"/>
                <w:color w:val="000000"/>
                <w:sz w:val="22"/>
                <w:lang w:val="en-US" w:eastAsia="zh-CN"/>
              </w:rPr>
            </w:pPr>
          </w:p>
        </w:tc>
        <w:tc>
          <w:tcPr>
            <w:tcW w:w="567" w:type="dxa"/>
            <w:vAlign w:val="center"/>
          </w:tcPr>
          <w:p w14:paraId="001D7F3F">
            <w:pPr>
              <w:widowControl/>
              <w:jc w:val="left"/>
              <w:rPr>
                <w:rFonts w:hint="eastAsia"/>
                <w:kern w:val="0"/>
                <w:sz w:val="22"/>
              </w:rPr>
            </w:pPr>
          </w:p>
        </w:tc>
        <w:tc>
          <w:tcPr>
            <w:tcW w:w="533" w:type="dxa"/>
            <w:vAlign w:val="center"/>
          </w:tcPr>
          <w:p w14:paraId="52D22931">
            <w:pPr>
              <w:widowControl/>
              <w:jc w:val="left"/>
              <w:rPr>
                <w:rFonts w:hint="eastAsia"/>
                <w:kern w:val="0"/>
                <w:sz w:val="22"/>
              </w:rPr>
            </w:pPr>
          </w:p>
        </w:tc>
        <w:tc>
          <w:tcPr>
            <w:tcW w:w="6631" w:type="dxa"/>
            <w:vAlign w:val="center"/>
          </w:tcPr>
          <w:p w14:paraId="3F5AFCD0">
            <w:pPr>
              <w:widowControl/>
              <w:jc w:val="left"/>
              <w:rPr>
                <w:rFonts w:hint="default" w:eastAsiaTheme="minorEastAsia"/>
                <w:kern w:val="0"/>
                <w:sz w:val="22"/>
                <w:lang w:val="en-US" w:eastAsia="zh-CN"/>
              </w:rPr>
            </w:pPr>
          </w:p>
        </w:tc>
        <w:tc>
          <w:tcPr>
            <w:tcW w:w="407" w:type="dxa"/>
            <w:shd w:val="clear" w:color="auto" w:fill="auto"/>
            <w:vAlign w:val="center"/>
          </w:tcPr>
          <w:p w14:paraId="245EABA4">
            <w:pPr>
              <w:widowControl/>
              <w:jc w:val="left"/>
              <w:rPr>
                <w:kern w:val="0"/>
                <w:sz w:val="22"/>
              </w:rPr>
            </w:pPr>
          </w:p>
        </w:tc>
        <w:tc>
          <w:tcPr>
            <w:tcW w:w="580" w:type="dxa"/>
            <w:shd w:val="clear" w:color="auto" w:fill="auto"/>
            <w:vAlign w:val="center"/>
          </w:tcPr>
          <w:p w14:paraId="610EC9CF">
            <w:pPr>
              <w:widowControl/>
              <w:jc w:val="left"/>
              <w:rPr>
                <w:rFonts w:hint="eastAsia"/>
                <w:kern w:val="0"/>
                <w:sz w:val="22"/>
              </w:rPr>
            </w:pPr>
          </w:p>
        </w:tc>
      </w:tr>
    </w:tbl>
    <w:p w14:paraId="34D6E905">
      <w:pPr>
        <w:jc w:val="center"/>
      </w:pPr>
    </w:p>
    <w:sectPr>
      <w:pgSz w:w="11906" w:h="16838"/>
      <w:pgMar w:top="1440" w:right="1797" w:bottom="1440" w:left="179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8AF1E3"/>
    <w:multiLevelType w:val="singleLevel"/>
    <w:tmpl w:val="BE8AF1E3"/>
    <w:lvl w:ilvl="0" w:tentative="0">
      <w:start w:val="1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941"/>
    <w:rsid w:val="000820F9"/>
    <w:rsid w:val="000B28B8"/>
    <w:rsid w:val="001118FF"/>
    <w:rsid w:val="0018226D"/>
    <w:rsid w:val="001E0EF0"/>
    <w:rsid w:val="00210F9A"/>
    <w:rsid w:val="00212FA4"/>
    <w:rsid w:val="00220941"/>
    <w:rsid w:val="00241172"/>
    <w:rsid w:val="00252987"/>
    <w:rsid w:val="00292F3B"/>
    <w:rsid w:val="002D11FC"/>
    <w:rsid w:val="002D5A84"/>
    <w:rsid w:val="00301AE1"/>
    <w:rsid w:val="00335127"/>
    <w:rsid w:val="003756A2"/>
    <w:rsid w:val="003867EB"/>
    <w:rsid w:val="003C06F5"/>
    <w:rsid w:val="003E2A51"/>
    <w:rsid w:val="00454B09"/>
    <w:rsid w:val="004B637C"/>
    <w:rsid w:val="004C697A"/>
    <w:rsid w:val="00504446"/>
    <w:rsid w:val="005077D6"/>
    <w:rsid w:val="00514A78"/>
    <w:rsid w:val="00517702"/>
    <w:rsid w:val="00525D01"/>
    <w:rsid w:val="005434F1"/>
    <w:rsid w:val="00555534"/>
    <w:rsid w:val="00571F75"/>
    <w:rsid w:val="005E1296"/>
    <w:rsid w:val="00644933"/>
    <w:rsid w:val="00681FB1"/>
    <w:rsid w:val="00695437"/>
    <w:rsid w:val="006D46AD"/>
    <w:rsid w:val="007169C8"/>
    <w:rsid w:val="00725C66"/>
    <w:rsid w:val="00773988"/>
    <w:rsid w:val="0079280E"/>
    <w:rsid w:val="007B0BBE"/>
    <w:rsid w:val="007C09A5"/>
    <w:rsid w:val="007C66DD"/>
    <w:rsid w:val="00817546"/>
    <w:rsid w:val="0085576B"/>
    <w:rsid w:val="00891FE7"/>
    <w:rsid w:val="0094414D"/>
    <w:rsid w:val="009A5E5E"/>
    <w:rsid w:val="009C1595"/>
    <w:rsid w:val="00A0002D"/>
    <w:rsid w:val="00A477AE"/>
    <w:rsid w:val="00A96259"/>
    <w:rsid w:val="00AC6578"/>
    <w:rsid w:val="00AF6492"/>
    <w:rsid w:val="00B30068"/>
    <w:rsid w:val="00B56508"/>
    <w:rsid w:val="00BC64B8"/>
    <w:rsid w:val="00BD12BD"/>
    <w:rsid w:val="00BD6E7F"/>
    <w:rsid w:val="00BE4255"/>
    <w:rsid w:val="00C437A2"/>
    <w:rsid w:val="00C94A0F"/>
    <w:rsid w:val="00CC1AB3"/>
    <w:rsid w:val="00CD6438"/>
    <w:rsid w:val="00CF19AC"/>
    <w:rsid w:val="00D61BD9"/>
    <w:rsid w:val="00D63CEA"/>
    <w:rsid w:val="00D66372"/>
    <w:rsid w:val="00D71D19"/>
    <w:rsid w:val="00DA630C"/>
    <w:rsid w:val="00E8407A"/>
    <w:rsid w:val="00EB2D3C"/>
    <w:rsid w:val="00EC1734"/>
    <w:rsid w:val="00EC7705"/>
    <w:rsid w:val="00F0595D"/>
    <w:rsid w:val="00F32C0B"/>
    <w:rsid w:val="00F45982"/>
    <w:rsid w:val="00F64A5E"/>
    <w:rsid w:val="00F70671"/>
    <w:rsid w:val="00F90595"/>
    <w:rsid w:val="00F942D0"/>
    <w:rsid w:val="19332664"/>
    <w:rsid w:val="1D461794"/>
    <w:rsid w:val="38A537E8"/>
    <w:rsid w:val="3D4C7A72"/>
    <w:rsid w:val="522A0FD2"/>
    <w:rsid w:val="54FB1595"/>
    <w:rsid w:val="626C5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3"/>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1"/>
    <w:qFormat/>
    <w:uiPriority w:val="0"/>
    <w:pPr>
      <w:spacing w:after="120"/>
    </w:pPr>
  </w:style>
  <w:style w:type="paragraph" w:styleId="5">
    <w:name w:val="Body Text Indent"/>
    <w:basedOn w:val="1"/>
    <w:link w:val="18"/>
    <w:semiHidden/>
    <w:unhideWhenUsed/>
    <w:qFormat/>
    <w:uiPriority w:val="99"/>
    <w:pPr>
      <w:spacing w:after="120"/>
      <w:ind w:left="420" w:leftChars="200"/>
    </w:pPr>
  </w:style>
  <w:style w:type="paragraph" w:styleId="6">
    <w:name w:val="Balloon Text"/>
    <w:basedOn w:val="1"/>
    <w:link w:val="16"/>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itle"/>
    <w:basedOn w:val="1"/>
    <w:next w:val="1"/>
    <w:link w:val="20"/>
    <w:qFormat/>
    <w:uiPriority w:val="10"/>
    <w:pPr>
      <w:spacing w:before="240" w:after="60"/>
      <w:jc w:val="center"/>
      <w:outlineLvl w:val="0"/>
    </w:pPr>
    <w:rPr>
      <w:rFonts w:eastAsia="宋体" w:asciiTheme="majorHAnsi" w:hAnsiTheme="majorHAnsi" w:cstheme="majorBidi"/>
      <w:b/>
      <w:bCs/>
      <w:sz w:val="32"/>
      <w:szCs w:val="32"/>
    </w:rPr>
  </w:style>
  <w:style w:type="paragraph" w:styleId="10">
    <w:name w:val="Body Text First Indent 2"/>
    <w:basedOn w:val="5"/>
    <w:link w:val="19"/>
    <w:unhideWhenUsed/>
    <w:qFormat/>
    <w:uiPriority w:val="99"/>
    <w:pPr>
      <w:ind w:firstLine="420" w:firstLineChars="200"/>
    </w:pPr>
    <w:rPr>
      <w:rFonts w:ascii="Calibri" w:hAnsi="Calibri" w:eastAsia="宋体" w:cs="Times New Roman"/>
    </w:rPr>
  </w:style>
  <w:style w:type="character" w:customStyle="1" w:styleId="13">
    <w:name w:val="标题 2 Char"/>
    <w:basedOn w:val="12"/>
    <w:link w:val="3"/>
    <w:qFormat/>
    <w:uiPriority w:val="0"/>
    <w:rPr>
      <w:rFonts w:asciiTheme="majorHAnsi" w:hAnsiTheme="majorHAnsi" w:eastAsiaTheme="majorEastAsia" w:cstheme="majorBidi"/>
      <w:b/>
      <w:bCs/>
      <w:sz w:val="32"/>
      <w:szCs w:val="32"/>
    </w:rPr>
  </w:style>
  <w:style w:type="character" w:customStyle="1" w:styleId="14">
    <w:name w:val="页眉 Char"/>
    <w:basedOn w:val="12"/>
    <w:link w:val="8"/>
    <w:qFormat/>
    <w:uiPriority w:val="99"/>
    <w:rPr>
      <w:sz w:val="18"/>
      <w:szCs w:val="18"/>
    </w:rPr>
  </w:style>
  <w:style w:type="character" w:customStyle="1" w:styleId="15">
    <w:name w:val="页脚 Char"/>
    <w:basedOn w:val="12"/>
    <w:link w:val="7"/>
    <w:qFormat/>
    <w:uiPriority w:val="99"/>
    <w:rPr>
      <w:sz w:val="18"/>
      <w:szCs w:val="18"/>
    </w:rPr>
  </w:style>
  <w:style w:type="character" w:customStyle="1" w:styleId="16">
    <w:name w:val="批注框文本 Char"/>
    <w:basedOn w:val="12"/>
    <w:link w:val="6"/>
    <w:semiHidden/>
    <w:qFormat/>
    <w:uiPriority w:val="99"/>
    <w:rPr>
      <w:sz w:val="18"/>
      <w:szCs w:val="18"/>
    </w:rPr>
  </w:style>
  <w:style w:type="character" w:customStyle="1" w:styleId="17">
    <w:name w:val="标题 1 Char"/>
    <w:basedOn w:val="12"/>
    <w:link w:val="2"/>
    <w:qFormat/>
    <w:uiPriority w:val="9"/>
    <w:rPr>
      <w:b/>
      <w:bCs/>
      <w:kern w:val="44"/>
      <w:sz w:val="44"/>
      <w:szCs w:val="44"/>
    </w:rPr>
  </w:style>
  <w:style w:type="character" w:customStyle="1" w:styleId="18">
    <w:name w:val="正文文本缩进 Char"/>
    <w:basedOn w:val="12"/>
    <w:link w:val="5"/>
    <w:semiHidden/>
    <w:qFormat/>
    <w:uiPriority w:val="99"/>
  </w:style>
  <w:style w:type="character" w:customStyle="1" w:styleId="19">
    <w:name w:val="正文首行缩进 2 Char"/>
    <w:basedOn w:val="18"/>
    <w:link w:val="10"/>
    <w:qFormat/>
    <w:uiPriority w:val="99"/>
    <w:rPr>
      <w:rFonts w:ascii="Calibri" w:hAnsi="Calibri" w:eastAsia="宋体" w:cs="Times New Roman"/>
    </w:rPr>
  </w:style>
  <w:style w:type="character" w:customStyle="1" w:styleId="20">
    <w:name w:val="标题 Char"/>
    <w:basedOn w:val="12"/>
    <w:link w:val="9"/>
    <w:qFormat/>
    <w:uiPriority w:val="10"/>
    <w:rPr>
      <w:rFonts w:eastAsia="宋体" w:asciiTheme="majorHAnsi" w:hAnsiTheme="majorHAnsi" w:cstheme="majorBidi"/>
      <w:b/>
      <w:bCs/>
      <w:sz w:val="32"/>
      <w:szCs w:val="32"/>
    </w:rPr>
  </w:style>
  <w:style w:type="paragraph" w:styleId="2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emf"/><Relationship Id="rId5" Type="http://schemas.openxmlformats.org/officeDocument/2006/relationships/oleObject" Target="embeddings/oleObject1.bin"/><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Pages>
  <Words>4017</Words>
  <Characters>4332</Characters>
  <Lines>30</Lines>
  <Paragraphs>8</Paragraphs>
  <TotalTime>0</TotalTime>
  <ScaleCrop>false</ScaleCrop>
  <LinksUpToDate>false</LinksUpToDate>
  <CharactersWithSpaces>4364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2024-07-10T01:58:00Z</dcterms:created>
  <dc:creator>admin</dc:creator>
  <cp:lastModifiedBy>王兴亚</cp:lastModifiedBy>
  <dcterms:modified xsi:type="dcterms:W3CDTF">2026-04-08T03:13:17Z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eyJoZGlkIjoiODI0MGRhZDE4ZmRhYjdkNDFmODNjMGViZTgwMTRhYjUiLCJ1c2VySWQiOiIyOTYzODMxOTYifQ==</vt:lpwstr>
  </property>
  <property fmtid="{D5CDD505-2E9C-101B-9397-08002B2CF9AE}" pid="3" name="KSOProductBuildVer">
    <vt:lpwstr>2052-12.1.0.25225</vt:lpwstr>
  </property>
  <property fmtid="{D5CDD505-2E9C-101B-9397-08002B2CF9AE}" pid="4" name="ICV">
    <vt:lpwstr>F2A0B2A397B449A39D2B080595327FCA_13</vt:lpwstr>
  </property>
</Properties>
</file>